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before="0" w:beforeLines="150" w:line="240" w:lineRule="auto"/>
        <w:ind w:left="0" w:right="0" w:firstLine="0"/>
        <w:jc w:val="center"/>
        <w:textAlignment w:val="baseline"/>
        <w:rPr>
          <w:rFonts w:ascii="宋体" w:hAnsi="宋体" w:eastAsia="宋体" w:cs="宋体"/>
          <w:spacing w:val="16"/>
          <w:sz w:val="44"/>
          <w:szCs w:val="44"/>
          <w14:textOutline w14:w="6540" w14:cap="flat" w14:cmpd="sng">
            <w14:solidFill>
              <w14:srgbClr w14:val="000000"/>
            </w14:solidFill>
            <w14:prstDash w14:val="solid"/>
            <w14:miter w14:val="0"/>
          </w14:textOutline>
        </w:rPr>
      </w:pPr>
      <w:r>
        <w:rPr>
          <w:rFonts w:ascii="宋体" w:hAnsi="宋体" w:eastAsia="宋体" w:cs="宋体"/>
          <w:spacing w:val="16"/>
          <w:sz w:val="44"/>
          <w:szCs w:val="44"/>
          <w14:textOutline w14:w="6540" w14:cap="flat" w14:cmpd="sng">
            <w14:solidFill>
              <w14:srgbClr w14:val="000000"/>
            </w14:solidFill>
            <w14:prstDash w14:val="solid"/>
            <w14:miter w14:val="0"/>
          </w14:textOutline>
        </w:rPr>
        <w:t>关于征集</w:t>
      </w:r>
      <w:r>
        <w:rPr>
          <w:rFonts w:ascii="宋体" w:hAnsi="宋体" w:eastAsia="宋体" w:cs="宋体"/>
          <w:spacing w:val="87"/>
          <w:sz w:val="44"/>
          <w:szCs w:val="44"/>
        </w:rPr>
        <w:t xml:space="preserve"> </w:t>
      </w:r>
      <w:r>
        <w:rPr>
          <w:rFonts w:ascii="宋体" w:hAnsi="宋体" w:eastAsia="宋体" w:cs="宋体"/>
          <w:spacing w:val="16"/>
          <w:sz w:val="44"/>
          <w:szCs w:val="44"/>
          <w14:textOutline w14:w="6540" w14:cap="flat" w14:cmpd="sng">
            <w14:solidFill>
              <w14:srgbClr w14:val="000000"/>
            </w14:solidFill>
            <w14:prstDash w14:val="solid"/>
            <w14:miter w14:val="0"/>
          </w14:textOutline>
        </w:rPr>
        <w:t>2021年“中国好建筑”</w:t>
      </w:r>
    </w:p>
    <w:p>
      <w:pPr>
        <w:keepNext w:val="0"/>
        <w:keepLines w:val="0"/>
        <w:pageBreakBefore w:val="0"/>
        <w:widowControl/>
        <w:kinsoku/>
        <w:wordWrap/>
        <w:overflowPunct w:val="0"/>
        <w:topLinePunct w:val="0"/>
        <w:autoSpaceDE w:val="0"/>
        <w:autoSpaceDN w:val="0"/>
        <w:bidi w:val="0"/>
        <w:adjustRightInd w:val="0"/>
        <w:snapToGrid w:val="0"/>
        <w:spacing w:before="0" w:after="0" w:afterLines="150" w:line="240" w:lineRule="auto"/>
        <w:ind w:left="0" w:right="0" w:firstLine="0"/>
        <w:jc w:val="center"/>
        <w:textAlignment w:val="baseline"/>
        <w:rPr>
          <w:rFonts w:ascii="宋体" w:hAnsi="宋体" w:eastAsia="宋体" w:cs="宋体"/>
          <w:sz w:val="44"/>
          <w:szCs w:val="44"/>
        </w:rPr>
      </w:pPr>
      <w:r>
        <w:rPr>
          <w:rFonts w:hint="eastAsia" w:ascii="宋体" w:hAnsi="宋体" w:eastAsia="宋体" w:cs="宋体"/>
          <w:spacing w:val="16"/>
          <w:sz w:val="44"/>
          <w:szCs w:val="44"/>
          <w:lang w:eastAsia="zh-CN"/>
          <w14:textOutline w14:w="6540" w14:cap="flat" w14:cmpd="sng">
            <w14:solidFill>
              <w14:srgbClr w14:val="000000"/>
            </w14:solidFill>
            <w14:prstDash w14:val="solid"/>
            <w14:miter w14:val="0"/>
          </w14:textOutline>
        </w:rPr>
        <w:t>（</w:t>
      </w:r>
      <w:r>
        <w:rPr>
          <w:rFonts w:hint="eastAsia" w:ascii="宋体" w:hAnsi="宋体" w:eastAsia="宋体" w:cs="宋体"/>
          <w:spacing w:val="16"/>
          <w:sz w:val="44"/>
          <w:szCs w:val="44"/>
          <w:lang w:val="en-US" w:eastAsia="zh-CN"/>
          <w14:textOutline w14:w="6540" w14:cap="flat" w14:cmpd="sng">
            <w14:solidFill>
              <w14:srgbClr w14:val="000000"/>
            </w14:solidFill>
            <w14:prstDash w14:val="solid"/>
            <w14:miter w14:val="0"/>
          </w14:textOutline>
        </w:rPr>
        <w:t>山东区域</w:t>
      </w:r>
      <w:r>
        <w:rPr>
          <w:rFonts w:hint="eastAsia" w:ascii="宋体" w:hAnsi="宋体" w:eastAsia="宋体" w:cs="宋体"/>
          <w:spacing w:val="16"/>
          <w:sz w:val="44"/>
          <w:szCs w:val="44"/>
          <w:lang w:eastAsia="zh-CN"/>
          <w14:textOutline w14:w="6540" w14:cap="flat" w14:cmpd="sng">
            <w14:solidFill>
              <w14:srgbClr w14:val="000000"/>
            </w14:solidFill>
            <w14:prstDash w14:val="solid"/>
            <w14:miter w14:val="0"/>
          </w14:textOutline>
        </w:rPr>
        <w:t>）</w:t>
      </w:r>
      <w:r>
        <w:rPr>
          <w:rFonts w:ascii="宋体" w:hAnsi="宋体" w:eastAsia="宋体" w:cs="宋体"/>
          <w:spacing w:val="3"/>
          <w:sz w:val="44"/>
          <w:szCs w:val="44"/>
          <w14:textOutline w14:w="6540" w14:cap="flat" w14:cmpd="sng">
            <w14:solidFill>
              <w14:srgbClr w14:val="000000"/>
            </w14:solidFill>
            <w14:prstDash w14:val="solid"/>
            <w14:miter w14:val="0"/>
          </w14:textOutline>
        </w:rPr>
        <w:t>优秀实践案例的通知</w:t>
      </w:r>
    </w:p>
    <w:p>
      <w:pPr>
        <w:keepNext w:val="0"/>
        <w:keepLines w:val="0"/>
        <w:pageBreakBefore w:val="0"/>
        <w:widowControl/>
        <w:kinsoku/>
        <w:wordWrap/>
        <w:overflowPunct w:val="0"/>
        <w:topLinePunct w:val="0"/>
        <w:autoSpaceDE w:val="0"/>
        <w:autoSpaceDN w:val="0"/>
        <w:bidi w:val="0"/>
        <w:adjustRightInd w:val="0"/>
        <w:snapToGrid w:val="0"/>
        <w:spacing w:line="25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before="85" w:line="360" w:lineRule="auto"/>
        <w:textAlignment w:val="baseline"/>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各会员单位:</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“中国好建筑"是由国家发展改革委员会、住房城乡建设部</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中国建筑节能协会构建的公益性平台。该平台已经运行多年，受到行业内各方的关注，吸引大批建筑业主参与，推出了许多先进企业和优秀建筑案例，对推进建筑领域节能减排起到了积极的引领作用。</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目前，在国家实现“碳达峰碳中和”目标的大背景下，各方正在积极行动。为了更好的依托社会组织，构建以市场为导向、企业为主体、行业为支撑、社会公众广泛参与的建筑能效</w:t>
      </w:r>
      <w:r>
        <w:rPr>
          <w:rFonts w:hint="eastAsia" w:ascii="仿宋" w:hAnsi="仿宋" w:eastAsia="仿宋" w:cs="仿宋"/>
          <w:spacing w:val="11"/>
          <w:sz w:val="32"/>
          <w:szCs w:val="32"/>
          <w:lang w:val="en-US" w:eastAsia="zh-CN"/>
        </w:rPr>
        <w:t>可</w:t>
      </w:r>
      <w:r>
        <w:rPr>
          <w:rFonts w:hint="eastAsia" w:ascii="仿宋" w:hAnsi="仿宋" w:eastAsia="仿宋" w:cs="仿宋"/>
          <w:spacing w:val="11"/>
          <w:sz w:val="32"/>
          <w:szCs w:val="32"/>
        </w:rPr>
        <w:t>持续提升的创新机制，推动我省“中国好建筑”，推进我省 绿色、健康、智慧建筑事业持续发展，根据中国建筑节能协会《关于开展“中国好建筑”优秀实践案例征集的通知》，我会与中国建筑节能协会商定，在“中国好建筑”行动中开展合作，并由我会全权负责</w:t>
      </w:r>
      <w:r>
        <w:rPr>
          <w:rFonts w:hint="eastAsia" w:ascii="仿宋" w:hAnsi="仿宋" w:eastAsia="仿宋" w:cs="仿宋"/>
          <w:spacing w:val="11"/>
          <w:sz w:val="32"/>
          <w:szCs w:val="32"/>
          <w:lang w:val="en-US" w:eastAsia="zh-CN"/>
        </w:rPr>
        <w:t>山东</w:t>
      </w:r>
      <w:r>
        <w:rPr>
          <w:rFonts w:hint="eastAsia" w:ascii="仿宋" w:hAnsi="仿宋" w:eastAsia="仿宋" w:cs="仿宋"/>
          <w:spacing w:val="11"/>
          <w:sz w:val="32"/>
          <w:szCs w:val="32"/>
        </w:rPr>
        <w:t>区域“中国好建筑行动”项目实践案例 征集及推荐工作</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现就本会征集“中国好建筑”优秀实践案例有关事宜通知如下∶</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一、征集时间</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2021年11月1日至2021年11月20日</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二、申报板块</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1、既有能效提升建筑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2、绿色建筑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3、健康建筑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4、智慧建筑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5、被动式超低能耗或近零能耗建筑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6、老旧小区改造能效提升建筑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三、申报流程</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z w:val="32"/>
          <w:szCs w:val="32"/>
        </w:rPr>
      </w:pPr>
      <w:r>
        <w:rPr>
          <w:rFonts w:hint="eastAsia" w:ascii="仿宋" w:hAnsi="仿宋" w:eastAsia="仿宋" w:cs="仿宋"/>
          <w:spacing w:val="11"/>
          <w:sz w:val="32"/>
          <w:szCs w:val="32"/>
        </w:rPr>
        <w:t>1、提出申请。</w:t>
      </w:r>
      <w:r>
        <w:rPr>
          <w:rFonts w:hint="eastAsia" w:ascii="仿宋" w:hAnsi="仿宋" w:eastAsia="仿宋" w:cs="仿宋"/>
          <w:spacing w:val="-5"/>
          <w:sz w:val="32"/>
          <w:szCs w:val="32"/>
        </w:rPr>
        <w:t>申报单位可通过行业协会、专家推荐、</w:t>
      </w:r>
      <w:r>
        <w:rPr>
          <w:rFonts w:hint="eastAsia" w:ascii="仿宋" w:hAnsi="仿宋" w:eastAsia="仿宋" w:cs="仿宋"/>
          <w:spacing w:val="-3"/>
          <w:sz w:val="32"/>
          <w:szCs w:val="32"/>
        </w:rPr>
        <w:t>企业自荐等方式申报。申报单位根据申报项目自行选择板块</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填写相应信息征集表，保证所提交材料真实可靠、数据准确、</w:t>
      </w:r>
      <w:r>
        <w:rPr>
          <w:rFonts w:hint="eastAsia" w:ascii="仿宋" w:hAnsi="仿宋" w:eastAsia="仿宋" w:cs="仿宋"/>
          <w:spacing w:val="-5"/>
          <w:sz w:val="32"/>
          <w:szCs w:val="32"/>
        </w:rPr>
        <w:t>内容详实。活动全过程不收取任何费用。</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1133"/>
        <w:textAlignment w:val="baseline"/>
        <w:rPr>
          <w:rFonts w:hint="eastAsia" w:ascii="仿宋" w:hAnsi="仿宋" w:eastAsia="仿宋" w:cs="仿宋"/>
          <w:sz w:val="32"/>
          <w:szCs w:val="32"/>
        </w:rPr>
      </w:pPr>
      <w:r>
        <w:rPr>
          <w:rFonts w:hint="eastAsia" w:ascii="仿宋" w:hAnsi="仿宋" w:eastAsia="仿宋" w:cs="仿宋"/>
          <w:spacing w:val="13"/>
          <w:w w:val="101"/>
          <w:sz w:val="32"/>
          <w:szCs w:val="32"/>
        </w:rPr>
        <w:t>2、组织评审。本会完成</w:t>
      </w:r>
      <w:r>
        <w:rPr>
          <w:rFonts w:hint="eastAsia" w:ascii="仿宋" w:hAnsi="仿宋" w:eastAsia="仿宋" w:cs="仿宋"/>
          <w:spacing w:val="13"/>
          <w:w w:val="101"/>
          <w:sz w:val="32"/>
          <w:szCs w:val="32"/>
          <w:lang w:eastAsia="zh-CN"/>
        </w:rPr>
        <w:t>山东</w:t>
      </w:r>
      <w:r>
        <w:rPr>
          <w:rFonts w:hint="eastAsia" w:ascii="仿宋" w:hAnsi="仿宋" w:eastAsia="仿宋" w:cs="仿宋"/>
          <w:spacing w:val="13"/>
          <w:w w:val="101"/>
          <w:sz w:val="32"/>
          <w:szCs w:val="32"/>
        </w:rPr>
        <w:t>省“中国好建筑”优秀实践</w:t>
      </w:r>
      <w:r>
        <w:rPr>
          <w:rFonts w:hint="eastAsia" w:ascii="仿宋" w:hAnsi="仿宋" w:eastAsia="仿宋" w:cs="仿宋"/>
          <w:spacing w:val="6"/>
          <w:sz w:val="32"/>
          <w:szCs w:val="32"/>
        </w:rPr>
        <w:t>案例征集和形审后，组织行业专家对实践案例进行识别、筛选</w:t>
      </w:r>
      <w:r>
        <w:rPr>
          <w:rFonts w:hint="eastAsia" w:ascii="仿宋" w:hAnsi="仿宋" w:eastAsia="仿宋" w:cs="仿宋"/>
          <w:spacing w:val="6"/>
          <w:sz w:val="32"/>
          <w:szCs w:val="32"/>
          <w:lang w:eastAsia="zh-CN"/>
        </w:rPr>
        <w:t>、</w:t>
      </w:r>
      <w:r>
        <w:rPr>
          <w:rFonts w:hint="eastAsia" w:ascii="仿宋" w:hAnsi="仿宋" w:eastAsia="仿宋" w:cs="仿宋"/>
          <w:spacing w:val="-4"/>
          <w:sz w:val="32"/>
          <w:szCs w:val="32"/>
        </w:rPr>
        <w:t>评审。</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28" w:firstLineChars="200"/>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3、公示推荐。在</w:t>
      </w:r>
      <w:r>
        <w:rPr>
          <w:rFonts w:hint="eastAsia" w:ascii="仿宋" w:hAnsi="仿宋" w:eastAsia="仿宋" w:cs="仿宋"/>
          <w:spacing w:val="-3"/>
          <w:sz w:val="32"/>
          <w:szCs w:val="32"/>
          <w:lang w:eastAsia="zh-CN"/>
        </w:rPr>
        <w:t>山东</w:t>
      </w:r>
      <w:r>
        <w:rPr>
          <w:rFonts w:hint="eastAsia" w:ascii="仿宋" w:hAnsi="仿宋" w:eastAsia="仿宋" w:cs="仿宋"/>
          <w:spacing w:val="-3"/>
          <w:sz w:val="32"/>
          <w:szCs w:val="32"/>
        </w:rPr>
        <w:t>省建设科技</w:t>
      </w:r>
      <w:r>
        <w:rPr>
          <w:rFonts w:hint="eastAsia" w:ascii="仿宋" w:hAnsi="仿宋" w:eastAsia="仿宋" w:cs="仿宋"/>
          <w:spacing w:val="-3"/>
          <w:sz w:val="32"/>
          <w:szCs w:val="32"/>
          <w:lang w:val="en-US" w:eastAsia="zh-CN"/>
        </w:rPr>
        <w:t>与教育</w:t>
      </w:r>
      <w:r>
        <w:rPr>
          <w:rFonts w:hint="eastAsia" w:ascii="仿宋" w:hAnsi="仿宋" w:eastAsia="仿宋" w:cs="仿宋"/>
          <w:spacing w:val="-3"/>
          <w:sz w:val="32"/>
          <w:szCs w:val="32"/>
        </w:rPr>
        <w:t>协会网站、</w:t>
      </w:r>
      <w:r>
        <w:rPr>
          <w:rFonts w:hint="eastAsia" w:ascii="仿宋" w:hAnsi="仿宋" w:eastAsia="仿宋" w:cs="仿宋"/>
          <w:spacing w:val="-3"/>
          <w:sz w:val="32"/>
          <w:szCs w:val="32"/>
          <w:lang w:eastAsia="zh-CN"/>
        </w:rPr>
        <w:t>山东</w:t>
      </w:r>
      <w:r>
        <w:rPr>
          <w:rFonts w:hint="eastAsia" w:ascii="仿宋" w:hAnsi="仿宋" w:eastAsia="仿宋" w:cs="仿宋"/>
          <w:spacing w:val="-3"/>
          <w:sz w:val="32"/>
          <w:szCs w:val="32"/>
        </w:rPr>
        <w:t>省建设科技</w:t>
      </w:r>
      <w:r>
        <w:rPr>
          <w:rFonts w:hint="eastAsia" w:ascii="仿宋" w:hAnsi="仿宋" w:eastAsia="仿宋" w:cs="仿宋"/>
          <w:spacing w:val="-3"/>
          <w:sz w:val="32"/>
          <w:szCs w:val="32"/>
          <w:lang w:val="en-US" w:eastAsia="zh-CN"/>
        </w:rPr>
        <w:t>与教育</w:t>
      </w:r>
      <w:r>
        <w:rPr>
          <w:rFonts w:hint="eastAsia" w:ascii="仿宋" w:hAnsi="仿宋" w:eastAsia="仿宋" w:cs="仿宋"/>
          <w:spacing w:val="-3"/>
          <w:sz w:val="32"/>
          <w:szCs w:val="32"/>
        </w:rPr>
        <w:t>协会微信公众平台等公示推荐名单。符合条件的实践案例</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推荐到中国建筑节能协会纳入“中国好建筑”平台发布。</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四、申报材料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1、中国好建筑项目信息表</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2、申报项目所申请板块对应《建筑评价表》</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3、电报项目展示 PPT</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五、联系方式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联系人∶</w:t>
      </w:r>
      <w:r>
        <w:rPr>
          <w:rFonts w:hint="eastAsia" w:ascii="仿宋" w:hAnsi="仿宋" w:eastAsia="仿宋" w:cs="仿宋"/>
          <w:spacing w:val="14"/>
          <w:w w:val="102"/>
          <w:sz w:val="32"/>
          <w:szCs w:val="32"/>
          <w:lang w:val="en-US" w:eastAsia="zh-CN"/>
        </w:rPr>
        <w:t>吕双双</w:t>
      </w:r>
      <w:r>
        <w:rPr>
          <w:rFonts w:hint="eastAsia" w:ascii="仿宋" w:hAnsi="仿宋" w:eastAsia="仿宋" w:cs="仿宋"/>
          <w:spacing w:val="14"/>
          <w:w w:val="102"/>
          <w:sz w:val="32"/>
          <w:szCs w:val="32"/>
        </w:rPr>
        <w:t xml:space="preserve">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 xml:space="preserve">电话∶ </w:t>
      </w:r>
      <w:r>
        <w:rPr>
          <w:rFonts w:hint="eastAsia" w:ascii="仿宋" w:hAnsi="仿宋" w:eastAsia="仿宋" w:cs="仿宋"/>
          <w:spacing w:val="14"/>
          <w:w w:val="102"/>
          <w:sz w:val="32"/>
          <w:szCs w:val="32"/>
          <w:lang w:val="en-US" w:eastAsia="zh-CN"/>
        </w:rPr>
        <w:t>0531-87081285</w:t>
      </w:r>
      <w:r>
        <w:rPr>
          <w:rFonts w:hint="eastAsia" w:ascii="仿宋" w:hAnsi="仿宋" w:eastAsia="仿宋" w:cs="仿宋"/>
          <w:spacing w:val="14"/>
          <w:w w:val="102"/>
          <w:sz w:val="32"/>
          <w:szCs w:val="32"/>
        </w:rPr>
        <w:t xml:space="preserve">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邮箱∶ sjskjxhbgs@</w:t>
      </w:r>
      <w:r>
        <w:rPr>
          <w:rFonts w:hint="eastAsia" w:ascii="仿宋" w:hAnsi="仿宋" w:eastAsia="仿宋" w:cs="仿宋"/>
          <w:spacing w:val="14"/>
          <w:w w:val="102"/>
          <w:sz w:val="32"/>
          <w:szCs w:val="32"/>
          <w:lang w:val="en-US" w:eastAsia="zh-CN"/>
        </w:rPr>
        <w:t>jn.shandong</w:t>
      </w:r>
      <w:r>
        <w:rPr>
          <w:rFonts w:hint="eastAsia" w:ascii="仿宋" w:hAnsi="仿宋" w:eastAsia="仿宋" w:cs="仿宋"/>
          <w:spacing w:val="14"/>
          <w:w w:val="102"/>
          <w:sz w:val="32"/>
          <w:szCs w:val="32"/>
        </w:rPr>
        <w:t xml:space="preserve">.com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 xml:space="preserve">地址∶ </w:t>
      </w:r>
      <w:r>
        <w:rPr>
          <w:rFonts w:hint="eastAsia" w:ascii="仿宋" w:hAnsi="仿宋" w:eastAsia="仿宋" w:cs="仿宋"/>
          <w:spacing w:val="14"/>
          <w:w w:val="102"/>
          <w:sz w:val="32"/>
          <w:szCs w:val="32"/>
          <w:lang w:val="en-US" w:eastAsia="zh-CN"/>
        </w:rPr>
        <w:t>济南市市中区经六小纬四路46-1号620室</w:t>
      </w:r>
    </w:p>
    <w:p>
      <w:pPr>
        <w:keepNext w:val="0"/>
        <w:keepLines w:val="0"/>
        <w:pageBreakBefore w:val="0"/>
        <w:widowControl/>
        <w:kinsoku/>
        <w:wordWrap/>
        <w:overflowPunct w:val="0"/>
        <w:topLinePunct w:val="0"/>
        <w:autoSpaceDE w:val="0"/>
        <w:autoSpaceDN w:val="0"/>
        <w:bidi w:val="0"/>
        <w:adjustRightInd w:val="0"/>
        <w:snapToGrid w:val="0"/>
        <w:spacing w:before="2" w:line="360" w:lineRule="auto"/>
        <w:ind w:left="473" w:right="333" w:firstLine="580"/>
        <w:textAlignment w:val="baseline"/>
        <w:rPr>
          <w:rFonts w:hint="eastAsia" w:ascii="仿宋" w:hAnsi="仿宋" w:eastAsia="仿宋" w:cs="仿宋"/>
          <w:spacing w:val="14"/>
          <w:w w:val="10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附 件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1、中国好建筑项目信息表</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2、中国好建筑既有建筑能效提升评价细则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3、中国好建筑智慧建筑评价细则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4、中国好建筑健康建筑评价细则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5、中国好建筑超低能耗或近零耗建筑评价细则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420" w:firstLineChars="200"/>
        <w:textAlignment w:val="baseline"/>
        <w:rPr>
          <w:rFonts w:hint="eastAsia" w:ascii="仿宋" w:hAnsi="仿宋" w:eastAsia="仿宋" w:cs="仿宋"/>
          <w:spacing w:val="14"/>
          <w:w w:val="102"/>
          <w:sz w:val="32"/>
          <w:szCs w:val="32"/>
          <w:lang w:val="en-US" w:eastAsia="zh-CN"/>
        </w:rPr>
      </w:pPr>
      <w:r>
        <w:rPr>
          <w:rFonts w:hint="eastAsia" w:ascii="Arial" w:eastAsia="宋体"/>
          <w:sz w:val="21"/>
          <w:lang w:eastAsia="zh-CN"/>
        </w:rPr>
        <w:drawing>
          <wp:anchor distT="0" distB="0" distL="114300" distR="114300" simplePos="0" relativeHeight="251659264" behindDoc="0" locked="0" layoutInCell="1" allowOverlap="1">
            <wp:simplePos x="0" y="0"/>
            <wp:positionH relativeFrom="column">
              <wp:posOffset>3413760</wp:posOffset>
            </wp:positionH>
            <wp:positionV relativeFrom="paragraph">
              <wp:posOffset>37465</wp:posOffset>
            </wp:positionV>
            <wp:extent cx="1933575" cy="1885950"/>
            <wp:effectExtent l="0" t="0" r="0" b="0"/>
            <wp:wrapNone/>
            <wp:docPr id="1" name="图片 1" descr="协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电子章"/>
                    <pic:cNvPicPr>
                      <a:picLocks noChangeAspect="1"/>
                    </pic:cNvPicPr>
                  </pic:nvPicPr>
                  <pic:blipFill>
                    <a:blip r:embed="rId9"/>
                    <a:stretch>
                      <a:fillRect/>
                    </a:stretch>
                  </pic:blipFill>
                  <pic:spPr>
                    <a:xfrm>
                      <a:off x="0" y="0"/>
                      <a:ext cx="1933575" cy="1885950"/>
                    </a:xfrm>
                    <a:prstGeom prst="rect">
                      <a:avLst/>
                    </a:prstGeom>
                  </pic:spPr>
                </pic:pic>
              </a:graphicData>
            </a:graphic>
          </wp:anchor>
        </w:drawing>
      </w:r>
      <w:r>
        <w:rPr>
          <w:rFonts w:hint="eastAsia" w:ascii="仿宋" w:hAnsi="仿宋" w:eastAsia="仿宋" w:cs="仿宋"/>
          <w:spacing w:val="14"/>
          <w:w w:val="102"/>
          <w:sz w:val="32"/>
          <w:szCs w:val="32"/>
          <w:lang w:val="en-US" w:eastAsia="zh-CN"/>
        </w:rPr>
        <w:t>6、中国好建筑老旧小区改造能效提升评价细则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jc w:val="right"/>
        <w:textAlignment w:val="baseline"/>
        <w:rPr>
          <w:rFonts w:hint="eastAsia" w:ascii="仿宋" w:hAnsi="仿宋" w:eastAsia="仿宋" w:cs="仿宋"/>
          <w:spacing w:val="14"/>
          <w:w w:val="102"/>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jc w:val="right"/>
        <w:textAlignment w:val="baseline"/>
        <w:rPr>
          <w:rFonts w:hint="default"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2021年11月12日</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hint="eastAsia" w:ascii="Arial" w:eastAsia="宋体"/>
          <w:sz w:val="21"/>
          <w:lang w:eastAsia="zh-CN"/>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b/>
          <w:bCs/>
          <w:sz w:val="21"/>
        </w:rPr>
      </w:pPr>
    </w:p>
    <w:p>
      <w:pPr>
        <w:keepNext w:val="0"/>
        <w:keepLines w:val="0"/>
        <w:pageBreakBefore w:val="0"/>
        <w:widowControl/>
        <w:kinsoku/>
        <w:wordWrap/>
        <w:overflowPunct w:val="0"/>
        <w:topLinePunct w:val="0"/>
        <w:autoSpaceDE w:val="0"/>
        <w:autoSpaceDN w:val="0"/>
        <w:bidi w:val="0"/>
        <w:adjustRightInd w:val="0"/>
        <w:snapToGrid w:val="0"/>
        <w:spacing w:before="101" w:line="210" w:lineRule="auto"/>
        <w:ind w:firstLine="793"/>
        <w:textAlignment w:val="baseline"/>
        <w:rPr>
          <w:rFonts w:hint="eastAsia" w:ascii="仿宋" w:hAnsi="仿宋" w:eastAsia="仿宋" w:cs="仿宋"/>
          <w:b/>
          <w:bCs/>
          <w:spacing w:val="3"/>
          <w:sz w:val="36"/>
          <w:szCs w:val="36"/>
          <w:lang w:val="en-US" w:eastAsia="zh-CN"/>
        </w:rPr>
      </w:pPr>
      <w:r>
        <w:rPr>
          <w:rFonts w:hint="eastAsia" w:ascii="仿宋" w:hAnsi="仿宋" w:eastAsia="仿宋" w:cs="仿宋"/>
          <w:b/>
          <w:bCs/>
          <w:spacing w:val="3"/>
          <w:sz w:val="36"/>
          <w:szCs w:val="36"/>
          <w:lang w:val="en-US" w:eastAsia="zh-CN"/>
        </w:rPr>
        <w:t xml:space="preserve">附件1： </w:t>
      </w:r>
      <w:r>
        <w:rPr>
          <w:rFonts w:hint="eastAsia" w:ascii="仿宋" w:hAnsi="仿宋" w:eastAsia="仿宋" w:cs="仿宋"/>
          <w:spacing w:val="3"/>
          <w:sz w:val="36"/>
          <w:szCs w:val="36"/>
          <w:lang w:val="en-US" w:eastAsia="zh-CN"/>
        </w:rPr>
        <w:t xml:space="preserve"> </w:t>
      </w:r>
      <w:r>
        <w:rPr>
          <w:rFonts w:ascii="等线" w:hAnsi="等线" w:eastAsia="等线" w:cs="等线"/>
          <w:spacing w:val="4"/>
          <w:w w:val="101"/>
          <w:sz w:val="32"/>
          <w:szCs w:val="32"/>
        </w:rPr>
        <w:t xml:space="preserve">   </w:t>
      </w:r>
      <w:r>
        <w:rPr>
          <w:rFonts w:hint="eastAsia" w:ascii="仿宋" w:hAnsi="仿宋" w:eastAsia="仿宋" w:cs="仿宋"/>
          <w:b/>
          <w:bCs/>
          <w:spacing w:val="3"/>
          <w:sz w:val="36"/>
          <w:szCs w:val="36"/>
          <w:lang w:val="en-US" w:eastAsia="zh-CN"/>
        </w:rPr>
        <w:t xml:space="preserve"> 中国好建筑项目信息表</w:t>
      </w:r>
    </w:p>
    <w:p>
      <w:pPr>
        <w:keepNext w:val="0"/>
        <w:keepLines w:val="0"/>
        <w:pageBreakBefore w:val="0"/>
        <w:widowControl/>
        <w:kinsoku/>
        <w:wordWrap/>
        <w:overflowPunct w:val="0"/>
        <w:topLinePunct w:val="0"/>
        <w:autoSpaceDE w:val="0"/>
        <w:autoSpaceDN w:val="0"/>
        <w:bidi w:val="0"/>
        <w:adjustRightInd w:val="0"/>
        <w:snapToGrid w:val="0"/>
        <w:spacing w:before="101" w:line="210" w:lineRule="auto"/>
        <w:ind w:firstLine="793"/>
        <w:textAlignment w:val="baseline"/>
        <w:rPr>
          <w:rFonts w:hint="eastAsia" w:ascii="仿宋" w:hAnsi="仿宋" w:eastAsia="仿宋" w:cs="仿宋"/>
          <w:b/>
          <w:bCs/>
          <w:spacing w:val="3"/>
          <w:sz w:val="36"/>
          <w:szCs w:val="36"/>
          <w:lang w:val="en-US" w:eastAsia="zh-CN"/>
        </w:rPr>
      </w:pPr>
    </w:p>
    <w:tbl>
      <w:tblPr>
        <w:tblStyle w:val="6"/>
        <w:tblW w:w="6890" w:type="dxa"/>
        <w:tblInd w:w="6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6"/>
        <w:gridCol w:w="1984"/>
        <w:gridCol w:w="1595"/>
        <w:gridCol w:w="18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75" w:line="219" w:lineRule="auto"/>
              <w:ind w:firstLine="28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9"/>
                <w:w w:val="103"/>
                <w:sz w:val="19"/>
                <w:szCs w:val="19"/>
              </w:rPr>
              <w:t>申报单位信息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05" w:line="219"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
                <w:sz w:val="19"/>
                <w:szCs w:val="19"/>
              </w:rPr>
              <w:t>申报单位</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05" w:line="221" w:lineRule="auto"/>
              <w:ind w:firstLine="50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联系人</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1"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联系电话</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0" w:lineRule="auto"/>
              <w:ind w:firstLine="59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5"/>
                <w:sz w:val="19"/>
                <w:szCs w:val="19"/>
              </w:rPr>
              <w:t>邮箱</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65" w:line="219" w:lineRule="auto"/>
              <w:ind w:firstLine="276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9"/>
                <w:w w:val="107"/>
                <w:sz w:val="19"/>
                <w:szCs w:val="19"/>
              </w:rPr>
              <w:t>建筑单位信息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设计单位</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0"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施工单位</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65" w:line="219"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
                <w:sz w:val="19"/>
                <w:szCs w:val="19"/>
              </w:rPr>
              <w:t>改造单位</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65" w:line="220"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运营单位</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6" w:line="219" w:lineRule="auto"/>
              <w:ind w:firstLine="22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
                <w:sz w:val="19"/>
                <w:szCs w:val="19"/>
              </w:rPr>
              <w:t>项目主要完</w:t>
            </w:r>
          </w:p>
          <w:p>
            <w:pPr>
              <w:keepNext w:val="0"/>
              <w:keepLines w:val="0"/>
              <w:pageBreakBefore w:val="0"/>
              <w:widowControl/>
              <w:kinsoku/>
              <w:wordWrap/>
              <w:overflowPunct w:val="0"/>
              <w:topLinePunct w:val="0"/>
              <w:autoSpaceDE w:val="0"/>
              <w:autoSpaceDN w:val="0"/>
              <w:bidi w:val="0"/>
              <w:adjustRightInd w:val="0"/>
              <w:snapToGrid w:val="0"/>
              <w:spacing w:before="44" w:line="221" w:lineRule="auto"/>
              <w:ind w:firstLine="22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成人（前三</w:t>
            </w:r>
          </w:p>
          <w:p>
            <w:pPr>
              <w:keepNext w:val="0"/>
              <w:keepLines w:val="0"/>
              <w:pageBreakBefore w:val="0"/>
              <w:widowControl/>
              <w:kinsoku/>
              <w:wordWrap/>
              <w:overflowPunct w:val="0"/>
              <w:topLinePunct w:val="0"/>
              <w:autoSpaceDE w:val="0"/>
              <w:autoSpaceDN w:val="0"/>
              <w:bidi w:val="0"/>
              <w:adjustRightInd w:val="0"/>
              <w:snapToGrid w:val="0"/>
              <w:spacing w:before="32" w:line="221" w:lineRule="auto"/>
              <w:ind w:firstLine="51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4"/>
                <w:sz w:val="19"/>
                <w:szCs w:val="19"/>
              </w:rPr>
              <w:t>位</w:t>
            </w:r>
            <w:r>
              <w:rPr>
                <w:rFonts w:hint="eastAsia" w:asciiTheme="minorEastAsia" w:hAnsiTheme="minorEastAsia" w:eastAsiaTheme="minorEastAsia" w:cstheme="minorEastAsia"/>
                <w:spacing w:val="20"/>
                <w:sz w:val="19"/>
                <w:szCs w:val="19"/>
              </w:rPr>
              <w:t xml:space="preserve"> </w:t>
            </w:r>
            <w:r>
              <w:rPr>
                <w:rFonts w:hint="eastAsia" w:asciiTheme="minorEastAsia" w:hAnsiTheme="minorEastAsia" w:eastAsiaTheme="minorEastAsia" w:cstheme="minorEastAsia"/>
                <w:spacing w:val="-4"/>
                <w:sz w:val="19"/>
                <w:szCs w:val="19"/>
              </w:rPr>
              <w:t>）</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6" w:line="219" w:lineRule="auto"/>
              <w:ind w:firstLine="280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9"/>
                <w:w w:val="103"/>
                <w:sz w:val="19"/>
                <w:szCs w:val="19"/>
              </w:rPr>
              <w:t>建筑基本信息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建筑名称</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19"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建筑类型</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2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占地面积</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27" w:line="219"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建筑年代</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57" w:line="219"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建筑层数</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57" w:line="219"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结构类型</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建筑面积</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7" w:line="220"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节能标准</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建筑地址</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20" w:lineRule="auto"/>
              <w:ind w:firstLine="30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认证、奖项</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7" w:line="219" w:lineRule="auto"/>
              <w:ind w:firstLine="268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4"/>
                <w:sz w:val="19"/>
                <w:szCs w:val="19"/>
              </w:rPr>
              <w:t>参与板块（</w:t>
            </w:r>
            <w:r>
              <w:rPr>
                <w:rFonts w:hint="eastAsia" w:asciiTheme="minorEastAsia" w:hAnsiTheme="minorEastAsia" w:eastAsiaTheme="minorEastAsia" w:cstheme="minorEastAsia"/>
                <w:spacing w:val="23"/>
                <w:sz w:val="19"/>
                <w:szCs w:val="19"/>
              </w:rPr>
              <w:t xml:space="preserve"> </w:t>
            </w:r>
            <w:r>
              <w:rPr>
                <w:rFonts w:hint="eastAsia" w:asciiTheme="minorEastAsia" w:hAnsiTheme="minorEastAsia" w:eastAsiaTheme="minorEastAsia" w:cstheme="minorEastAsia"/>
                <w:spacing w:val="4"/>
                <w:sz w:val="19"/>
                <w:szCs w:val="19"/>
              </w:rPr>
              <w:t>√</w:t>
            </w:r>
            <w:r>
              <w:rPr>
                <w:rFonts w:hint="eastAsia" w:asciiTheme="minorEastAsia" w:hAnsiTheme="minorEastAsia" w:eastAsiaTheme="minorEastAsia" w:cstheme="minorEastAsia"/>
                <w:spacing w:val="-64"/>
                <w:sz w:val="19"/>
                <w:szCs w:val="19"/>
              </w:rPr>
              <w:t xml:space="preserve"> </w:t>
            </w:r>
            <w:r>
              <w:rPr>
                <w:rFonts w:hint="eastAsia" w:asciiTheme="minorEastAsia" w:hAnsiTheme="minorEastAsia" w:eastAsiaTheme="minorEastAsia" w:cstheme="minorEastAsia"/>
                <w:spacing w:val="4"/>
                <w:sz w:val="19"/>
                <w:szCs w:val="19"/>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3"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88" w:line="450" w:lineRule="exact"/>
              <w:ind w:firstLine="9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7"/>
                <w:position w:val="20"/>
                <w:sz w:val="19"/>
                <w:szCs w:val="19"/>
              </w:rPr>
              <w:t>能效提升</w:t>
            </w:r>
            <w:r>
              <w:rPr>
                <w:rFonts w:hint="eastAsia" w:asciiTheme="minorEastAsia" w:hAnsiTheme="minorEastAsia" w:eastAsiaTheme="minorEastAsia" w:cstheme="minorEastAsia"/>
                <w:spacing w:val="52"/>
                <w:position w:val="20"/>
                <w:sz w:val="19"/>
                <w:szCs w:val="19"/>
              </w:rPr>
              <w:t xml:space="preserve"> </w:t>
            </w:r>
            <w:r>
              <w:rPr>
                <w:rFonts w:hint="eastAsia" w:asciiTheme="minorEastAsia" w:hAnsiTheme="minorEastAsia" w:eastAsiaTheme="minorEastAsia" w:cstheme="minorEastAsia"/>
                <w:spacing w:val="17"/>
                <w:position w:val="20"/>
                <w:sz w:val="19"/>
                <w:szCs w:val="19"/>
              </w:rPr>
              <w:t>口绿色建筑</w:t>
            </w:r>
            <w:r>
              <w:rPr>
                <w:rFonts w:hint="eastAsia" w:asciiTheme="minorEastAsia" w:hAnsiTheme="minorEastAsia" w:eastAsiaTheme="minorEastAsia" w:cstheme="minorEastAsia"/>
                <w:spacing w:val="51"/>
                <w:position w:val="20"/>
                <w:sz w:val="19"/>
                <w:szCs w:val="19"/>
              </w:rPr>
              <w:t xml:space="preserve"> </w:t>
            </w:r>
            <w:r>
              <w:rPr>
                <w:rFonts w:hint="eastAsia" w:asciiTheme="minorEastAsia" w:hAnsiTheme="minorEastAsia" w:eastAsiaTheme="minorEastAsia" w:cstheme="minorEastAsia"/>
                <w:spacing w:val="17"/>
                <w:position w:val="20"/>
                <w:sz w:val="19"/>
                <w:szCs w:val="19"/>
              </w:rPr>
              <w:t>口</w:t>
            </w:r>
            <w:r>
              <w:rPr>
                <w:rFonts w:hint="eastAsia" w:asciiTheme="minorEastAsia" w:hAnsiTheme="minorEastAsia" w:eastAsiaTheme="minorEastAsia" w:cstheme="minorEastAsia"/>
                <w:spacing w:val="30"/>
                <w:position w:val="20"/>
                <w:sz w:val="19"/>
                <w:szCs w:val="19"/>
              </w:rPr>
              <w:t xml:space="preserve"> </w:t>
            </w:r>
            <w:r>
              <w:rPr>
                <w:rFonts w:hint="eastAsia" w:asciiTheme="minorEastAsia" w:hAnsiTheme="minorEastAsia" w:eastAsiaTheme="minorEastAsia" w:cstheme="minorEastAsia"/>
                <w:spacing w:val="17"/>
                <w:position w:val="20"/>
                <w:sz w:val="19"/>
                <w:szCs w:val="19"/>
              </w:rPr>
              <w:t>智慧运营</w:t>
            </w:r>
            <w:r>
              <w:rPr>
                <w:rFonts w:hint="eastAsia" w:asciiTheme="minorEastAsia" w:hAnsiTheme="minorEastAsia" w:eastAsiaTheme="minorEastAsia" w:cstheme="minorEastAsia"/>
                <w:spacing w:val="46"/>
                <w:position w:val="20"/>
                <w:sz w:val="19"/>
                <w:szCs w:val="19"/>
              </w:rPr>
              <w:t xml:space="preserve"> </w:t>
            </w:r>
            <w:r>
              <w:rPr>
                <w:rFonts w:hint="eastAsia" w:asciiTheme="minorEastAsia" w:hAnsiTheme="minorEastAsia" w:eastAsiaTheme="minorEastAsia" w:cstheme="minorEastAsia"/>
                <w:spacing w:val="17"/>
                <w:position w:val="20"/>
                <w:sz w:val="19"/>
                <w:szCs w:val="19"/>
              </w:rPr>
              <w:t>口健康舒适</w:t>
            </w:r>
            <w:r>
              <w:rPr>
                <w:rFonts w:hint="eastAsia" w:asciiTheme="minorEastAsia" w:hAnsiTheme="minorEastAsia" w:eastAsiaTheme="minorEastAsia" w:cstheme="minorEastAsia"/>
                <w:spacing w:val="51"/>
                <w:position w:val="20"/>
                <w:sz w:val="19"/>
                <w:szCs w:val="19"/>
              </w:rPr>
              <w:t xml:space="preserve"> </w:t>
            </w:r>
            <w:r>
              <w:rPr>
                <w:rFonts w:hint="eastAsia" w:asciiTheme="minorEastAsia" w:hAnsiTheme="minorEastAsia" w:eastAsiaTheme="minorEastAsia" w:cstheme="minorEastAsia"/>
                <w:spacing w:val="17"/>
                <w:position w:val="20"/>
                <w:sz w:val="19"/>
                <w:szCs w:val="19"/>
              </w:rPr>
              <w:t>口超低能耗或近零能耗</w:t>
            </w:r>
          </w:p>
          <w:p>
            <w:pPr>
              <w:keepNext w:val="0"/>
              <w:keepLines w:val="0"/>
              <w:pageBreakBefore w:val="0"/>
              <w:widowControl/>
              <w:kinsoku/>
              <w:wordWrap/>
              <w:overflowPunct w:val="0"/>
              <w:topLinePunct w:val="0"/>
              <w:autoSpaceDE w:val="0"/>
              <w:autoSpaceDN w:val="0"/>
              <w:bidi w:val="0"/>
              <w:adjustRightInd w:val="0"/>
              <w:snapToGrid w:val="0"/>
              <w:spacing w:line="220" w:lineRule="auto"/>
              <w:ind w:firstLine="8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w:t>
            </w:r>
            <w:r>
              <w:rPr>
                <w:rFonts w:hint="eastAsia" w:asciiTheme="minorEastAsia" w:hAnsiTheme="minorEastAsia" w:eastAsiaTheme="minorEastAsia" w:cstheme="minorEastAsia"/>
                <w:spacing w:val="31"/>
                <w:sz w:val="19"/>
                <w:szCs w:val="19"/>
              </w:rPr>
              <w:t xml:space="preserve"> </w:t>
            </w:r>
            <w:r>
              <w:rPr>
                <w:rFonts w:hint="eastAsia" w:asciiTheme="minorEastAsia" w:hAnsiTheme="minorEastAsia" w:eastAsiaTheme="minorEastAsia" w:cstheme="minorEastAsia"/>
                <w:spacing w:val="-3"/>
                <w:sz w:val="19"/>
                <w:szCs w:val="19"/>
              </w:rPr>
              <w:t>其他</w:t>
            </w:r>
          </w:p>
          <w:p>
            <w:pPr>
              <w:keepNext w:val="0"/>
              <w:keepLines w:val="0"/>
              <w:pageBreakBefore w:val="0"/>
              <w:widowControl/>
              <w:kinsoku/>
              <w:wordWrap/>
              <w:overflowPunct w:val="0"/>
              <w:topLinePunct w:val="0"/>
              <w:autoSpaceDE w:val="0"/>
              <w:autoSpaceDN w:val="0"/>
              <w:bidi w:val="0"/>
              <w:adjustRightInd w:val="0"/>
              <w:snapToGrid w:val="0"/>
              <w:spacing w:before="175" w:line="428" w:lineRule="auto"/>
              <w:ind w:left="80"/>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rPr>
              <w:t>注:1.能效提升板块:承诺5-10 年内提升能效 10%—20% 目标，需要提交建筑改   造前后至少各1年的连续能耗运行数据。                                      2.绿色建筑板块:参与项目至少为二星及以上的建筑，并需要提供相应的设计或运 行认证作为支撑。                                                          3.智慧运营板块:参与项目提供相应的智慧化方案、技术、产品等支撑材料。     4.健康舒适板块: 参与项目提供相应的方案、技术、产品等支撑材料，或第三方认 证机构的“认证证书”，并提供不少于3个月数据支撑。                        5.超低能耗或被动房板块: 参与项目提供相应的方案、技术、产品等支撑材料，或第三方认证机构的“认证证书"，并提供不少于6个月数据支撑。</w:t>
            </w:r>
          </w:p>
        </w:tc>
      </w:tr>
    </w:tbl>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rPr>
        <w:sectPr>
          <w:footerReference r:id="rId5" w:type="default"/>
          <w:pgSz w:w="11910" w:h="16840"/>
          <w:pgMar w:top="1431" w:right="1786" w:bottom="1787" w:left="1786" w:header="0" w:footer="1701" w:gutter="0"/>
          <w:cols w:space="720" w:num="1"/>
        </w:sect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bookmarkStart w:id="0" w:name="_GoBack"/>
      <w:r>
        <w:rPr>
          <w:rFonts w:hint="eastAsia" w:ascii="仿宋" w:hAnsi="仿宋" w:eastAsia="仿宋" w:cs="仿宋"/>
          <w:b/>
          <w:bCs/>
          <w:spacing w:val="14"/>
          <w:w w:val="102"/>
          <w:sz w:val="36"/>
          <w:szCs w:val="36"/>
          <w:lang w:val="en-US" w:eastAsia="zh-CN"/>
        </w:rPr>
        <w:t>附件2：“中国好建筑”—既有建筑能效提升评价细则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二、能耗诊断和统计信息</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1、节能诊断分析：分析改造前1</w:t>
      </w:r>
      <w:r>
        <w:rPr>
          <w:rFonts w:ascii="仿宋_GB2312" w:eastAsia="仿宋_GB2312"/>
          <w:sz w:val="28"/>
          <w:szCs w:val="32"/>
        </w:rPr>
        <w:t>-3</w:t>
      </w:r>
      <w:r>
        <w:rPr>
          <w:rFonts w:hint="eastAsia" w:ascii="仿宋_GB2312" w:eastAsia="仿宋_GB2312"/>
          <w:sz w:val="28"/>
          <w:szCs w:val="32"/>
        </w:rPr>
        <w:t>年项目的总能耗，单位面积能耗、单位人居能耗。分析改造后项目的总能耗，单位面积能耗、单位人居能耗。</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、能耗分析：分析建筑节能量和节能率。</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三、能效提升主要内容和方案</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1、节能改造内容和方案：节能改造目标，用能设备系统节能改造的详细内容、围护结构节能改造的详细内容，节能改造的综合性解决方案和关键技术。</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四、经济效益分析</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1、单项节能量分析：分析改造的单项建筑用能系统的节能率；</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2、整体节能效果分析：分析建筑整体节能效果；</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3、节能改造投资分析：节能改造投资回收方式、节能能源费用及投资回收期；</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、创新点和亮点：关键技术、模式创新等。</w:t>
      </w: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中国好建筑—既有建筑能效提升评价表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294"/>
        <w:gridCol w:w="207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节能量</w:t>
            </w:r>
          </w:p>
        </w:tc>
        <w:tc>
          <w:tcPr>
            <w:tcW w:w="1296" w:type="pc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节能率</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联系人和电话</w:t>
            </w:r>
          </w:p>
        </w:tc>
        <w:tc>
          <w:tcPr>
            <w:tcW w:w="3682" w:type="pct"/>
            <w:gridSpan w:val="3"/>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节能改造内容（在以下选项中打“√”）：</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□围护结构                □供暖系统          □通风空调系统   </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□生活热水系统            □给排水系统        □供配电</w:t>
            </w:r>
            <w:r>
              <w:rPr>
                <w:rFonts w:hint="eastAsia" w:ascii="Times New Roman" w:hAnsi="Times New Roman" w:eastAsia="黑体" w:cs="Times New Roman"/>
                <w:sz w:val="24"/>
                <w:szCs w:val="24"/>
              </w:rPr>
              <w:t>、照明</w:t>
            </w:r>
            <w:r>
              <w:rPr>
                <w:rFonts w:ascii="Times New Roman" w:hAnsi="Times New Roman" w:eastAsia="黑体" w:cs="Times New Roman"/>
                <w:sz w:val="24"/>
                <w:szCs w:val="24"/>
              </w:rPr>
              <w:t>系统</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□监测与控制系统          □可再生能源利用</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□其他</w:t>
            </w:r>
            <w:r>
              <w:rPr>
                <w:rFonts w:hint="eastAsia" w:ascii="Times New Roman" w:hAnsi="Times New Roman"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（综合考虑围护结构、机电系统、可再生能源系统、运行管理等，提出系统改造方案）</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rPr>
                <w:rFonts w:hint="eastAsia"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建筑用能运行数据（改造前）—2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79"/>
        <w:gridCol w:w="984"/>
        <w:gridCol w:w="831"/>
        <w:gridCol w:w="1136"/>
        <w:gridCol w:w="1140"/>
        <w:gridCol w:w="834"/>
        <w:gridCol w:w="10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建筑用能运行数据（改造后）—2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79"/>
        <w:gridCol w:w="984"/>
        <w:gridCol w:w="831"/>
        <w:gridCol w:w="1136"/>
        <w:gridCol w:w="1140"/>
        <w:gridCol w:w="834"/>
        <w:gridCol w:w="10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p>
      <w:pPr>
        <w:snapToGrid w:val="0"/>
        <w:spacing w:line="500" w:lineRule="exact"/>
        <w:ind w:firstLine="560" w:firstLineChars="200"/>
        <w:jc w:val="center"/>
        <w:rPr>
          <w:rFonts w:ascii="仿宋_GB2312" w:eastAsia="仿宋_GB2312"/>
          <w:sz w:val="28"/>
          <w:szCs w:val="32"/>
        </w:rPr>
      </w:pPr>
      <m:oMath>
        <m:r>
          <m:rPr>
            <m:sty m:val="p"/>
          </m:rPr>
          <w:rPr>
            <w:rFonts w:hint="eastAsia" w:ascii="Cambria Math" w:hAnsi="Cambria Math" w:eastAsia="仿宋_GB2312"/>
            <w:sz w:val="28"/>
            <w:szCs w:val="32"/>
          </w:rPr>
          <m:t>综合能耗（</m:t>
        </m:r>
        <m:r>
          <m:rPr>
            <m:sty m:val="p"/>
          </m:rPr>
          <w:rPr>
            <w:rFonts w:ascii="Cambria Math" w:hAnsi="Cambria Math" w:eastAsia="仿宋_GB2312"/>
            <w:sz w:val="28"/>
            <w:szCs w:val="32"/>
          </w:rPr>
          <m:t>KWh</m:t>
        </m:r>
        <m:r>
          <m:rPr>
            <m:sty m:val="p"/>
          </m:rPr>
          <w:rPr>
            <w:rFonts w:hint="eastAsia" w:ascii="Cambria Math" w:hAnsi="Cambria Math" w:eastAsia="仿宋_GB2312"/>
            <w:sz w:val="28"/>
            <w:szCs w:val="32"/>
          </w:rPr>
          <m:t>）=</m:t>
        </m:r>
        <m:nary>
          <m:naryPr>
            <m:chr m:val="∑"/>
            <m:limLoc m:val="undOvr"/>
            <m:ctrlPr>
              <w:rPr>
                <w:rFonts w:ascii="Cambria Math" w:hAnsi="Cambria Math" w:eastAsia="仿宋_GB2312"/>
                <w:sz w:val="28"/>
                <w:szCs w:val="32"/>
              </w:rPr>
            </m:ctrlPr>
          </m:naryPr>
          <m:sub>
            <m:r>
              <m:rPr/>
              <w:rPr>
                <w:rFonts w:hint="eastAsia" w:ascii="Cambria Math" w:hAnsi="Cambria Math" w:eastAsia="仿宋_GB2312"/>
                <w:sz w:val="28"/>
                <w:szCs w:val="32"/>
              </w:rPr>
              <m:t>1</m:t>
            </m:r>
            <m:ctrlPr>
              <w:rPr>
                <w:rFonts w:ascii="Cambria Math" w:hAnsi="Cambria Math" w:eastAsia="仿宋_GB2312"/>
                <w:sz w:val="28"/>
                <w:szCs w:val="32"/>
              </w:rPr>
            </m:ctrlPr>
          </m:sub>
          <m:sup>
            <m:r>
              <m:rPr/>
              <w:rPr>
                <w:rFonts w:hint="eastAsia" w:ascii="Cambria Math" w:hAnsi="Cambria Math" w:eastAsia="仿宋_GB2312"/>
                <w:sz w:val="28"/>
                <w:szCs w:val="32"/>
              </w:rPr>
              <m:t>12</m:t>
            </m:r>
            <m:ctrlPr>
              <w:rPr>
                <w:rFonts w:ascii="Cambria Math" w:hAnsi="Cambria Math" w:eastAsia="仿宋_GB2312"/>
                <w:sz w:val="28"/>
                <w:szCs w:val="32"/>
              </w:rPr>
            </m:ctrlPr>
          </m:sup>
          <m:e>
            <m:r>
              <m:rPr/>
              <w:rPr>
                <w:rFonts w:hint="eastAsia" w:ascii="Cambria Math" w:hAnsi="Cambria Math" w:eastAsia="仿宋_GB2312"/>
                <w:sz w:val="28"/>
                <w:szCs w:val="32"/>
              </w:rPr>
              <m:t>电</m:t>
            </m:r>
            <m:ctrlPr>
              <w:rPr>
                <w:rFonts w:ascii="Cambria Math" w:hAnsi="Cambria Math" w:eastAsia="仿宋_GB2312"/>
                <w:sz w:val="28"/>
                <w:szCs w:val="32"/>
              </w:rPr>
            </m:ctrlPr>
          </m:e>
        </m:nary>
        <m:r>
          <m:rPr/>
          <w:rPr>
            <w:rFonts w:hint="eastAsia" w:ascii="Cambria Math" w:hAnsi="Cambria Math" w:eastAsia="仿宋_GB2312"/>
            <w:sz w:val="28"/>
            <w:szCs w:val="32"/>
          </w:rPr>
          <m:t>+9.5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天然气</m:t>
            </m:r>
            <m:ctrlPr>
              <w:rPr>
                <w:rFonts w:ascii="Cambria Math" w:hAnsi="Cambria Math" w:eastAsia="仿宋_GB2312"/>
                <w:i/>
                <w:sz w:val="28"/>
                <w:szCs w:val="32"/>
              </w:rPr>
            </m:ctrlPr>
          </m:e>
        </m:nary>
        <m:r>
          <m:rPr/>
          <w:rPr>
            <w:rFonts w:hint="eastAsia" w:ascii="Cambria Math" w:hAnsi="Cambria Math" w:eastAsia="仿宋_GB2312"/>
            <w:sz w:val="28"/>
            <w:szCs w:val="32"/>
          </w:rPr>
          <m:t>+628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外购蒸汽</m:t>
            </m:r>
            <m:ctrlPr>
              <w:rPr>
                <w:rFonts w:ascii="Cambria Math" w:hAnsi="Cambria Math" w:eastAsia="仿宋_GB2312"/>
                <w:i/>
                <w:sz w:val="28"/>
                <w:szCs w:val="32"/>
              </w:rPr>
            </m:ctrlPr>
          </m:e>
        </m:nary>
        <m:r>
          <m:rPr/>
          <w:rPr>
            <w:rFonts w:hint="eastAsia" w:ascii="Cambria Math" w:hAnsi="Cambria Math" w:eastAsia="仿宋_GB2312"/>
            <w:sz w:val="28"/>
            <w:szCs w:val="32"/>
          </w:rPr>
          <m:t>+35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外购生活热水</m:t>
            </m:r>
            <m:ctrlPr>
              <w:rPr>
                <w:rFonts w:ascii="Cambria Math" w:hAnsi="Cambria Math" w:eastAsia="仿宋_GB2312"/>
                <w:i/>
                <w:sz w:val="28"/>
                <w:szCs w:val="32"/>
              </w:rPr>
            </m:ctrlPr>
          </m:e>
        </m:nary>
        <m:r>
          <m:rPr/>
          <w:rPr>
            <w:rFonts w:hint="eastAsia" w:ascii="Cambria Math" w:hAnsi="Cambria Math" w:eastAsia="仿宋_GB2312"/>
            <w:sz w:val="28"/>
            <w:szCs w:val="32"/>
          </w:rPr>
          <m:t>+277.8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d>
              <m:dPr>
                <m:ctrlPr>
                  <w:rPr>
                    <w:rFonts w:ascii="Cambria Math" w:hAnsi="Cambria Math" w:eastAsia="仿宋_GB2312"/>
                    <w:i/>
                    <w:sz w:val="28"/>
                    <w:szCs w:val="32"/>
                  </w:rPr>
                </m:ctrlPr>
              </m:dPr>
              <m:e>
                <m:r>
                  <m:rPr/>
                  <w:rPr>
                    <w:rFonts w:hint="eastAsia" w:ascii="Cambria Math" w:hAnsi="Cambria Math" w:eastAsia="仿宋_GB2312"/>
                    <w:sz w:val="28"/>
                    <w:szCs w:val="32"/>
                  </w:rPr>
                  <m:t>外购采暖热量+外购冷量</m:t>
                </m:r>
                <m:ctrlPr>
                  <w:rPr>
                    <w:rFonts w:ascii="Cambria Math" w:hAnsi="Cambria Math" w:eastAsia="仿宋_GB2312"/>
                    <w:i/>
                    <w:sz w:val="28"/>
                    <w:szCs w:val="32"/>
                  </w:rPr>
                </m:ctrlPr>
              </m:e>
            </m:d>
            <m:r>
              <m:rPr/>
              <w:rPr>
                <w:rFonts w:hint="eastAsia" w:ascii="Cambria Math" w:hAnsi="Cambria Math" w:eastAsia="仿宋_GB2312"/>
                <w:sz w:val="28"/>
                <w:szCs w:val="32"/>
              </w:rPr>
              <m:t>+</m:t>
            </m:r>
            <m:ctrlPr>
              <w:rPr>
                <w:rFonts w:ascii="Cambria Math" w:hAnsi="Cambria Math" w:eastAsia="仿宋_GB2312"/>
                <w:i/>
                <w:sz w:val="28"/>
                <w:szCs w:val="32"/>
              </w:rPr>
            </m:ctrlPr>
          </m:e>
        </m:nary>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太阳能发电</m:t>
            </m:r>
            <m:ctrlPr>
              <w:rPr>
                <w:rFonts w:ascii="Cambria Math" w:hAnsi="Cambria Math" w:eastAsia="仿宋_GB2312"/>
                <w:i/>
                <w:sz w:val="28"/>
                <w:szCs w:val="32"/>
              </w:rPr>
            </m:ctrlPr>
          </m:e>
        </m:nary>
        <m:r>
          <m:rPr/>
          <w:rPr>
            <w:rFonts w:hint="eastAsia"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其他能源</m:t>
            </m:r>
            <m:ctrlPr>
              <w:rPr>
                <w:rFonts w:ascii="Cambria Math" w:hAnsi="Cambria Math" w:eastAsia="仿宋_GB2312"/>
                <w:i/>
                <w:sz w:val="28"/>
                <w:szCs w:val="32"/>
              </w:rPr>
            </m:ctrlPr>
          </m:e>
        </m:nary>
      </m:oMath>
      <w:bookmarkEnd w:id="0"/>
      <w:r>
        <w:rPr>
          <w:rFonts w:ascii="仿宋_GB2312" w:eastAsia="仿宋_GB2312"/>
          <w:sz w:val="28"/>
          <w:szCs w:val="32"/>
        </w:rPr>
        <w:t xml:space="preserve"> </w:t>
      </w:r>
    </w:p>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sectPr>
          <w:footerReference r:id="rId6" w:type="default"/>
          <w:pgSz w:w="11980" w:h="16890"/>
          <w:pgMar w:top="1435" w:right="1797" w:bottom="1716" w:left="1797" w:header="0" w:footer="1643" w:gutter="0"/>
          <w:cols w:space="720" w:num="1"/>
        </w:sect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附件3 ：“中国好建筑”—智慧建筑评价细则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二、智慧建筑设备情况</w:t>
      </w:r>
    </w:p>
    <w:p>
      <w:pPr>
        <w:ind w:firstLine="560" w:firstLineChars="200"/>
        <w:jc w:val="left"/>
        <w:rPr>
          <w:rFonts w:ascii="仿宋_GB2312" w:hAnsi="仿宋" w:eastAsia="仿宋_GB2312"/>
          <w:sz w:val="28"/>
        </w:rPr>
      </w:pPr>
      <w:r>
        <w:rPr>
          <w:rFonts w:hint="eastAsia" w:ascii="仿宋_GB2312" w:hAnsi="仿宋" w:eastAsia="仿宋_GB2312"/>
          <w:sz w:val="28"/>
        </w:rPr>
        <w:t>包括建筑信息化应用系统、智能化集成系统、信息设施系统、建筑设备管理系统、公共安全系统。</w:t>
      </w:r>
    </w:p>
    <w:p>
      <w:pPr>
        <w:ind w:firstLine="562" w:firstLineChars="200"/>
        <w:jc w:val="left"/>
        <w:rPr>
          <w:rFonts w:ascii="仿宋" w:hAnsi="仿宋" w:eastAsia="仿宋"/>
          <w:b/>
          <w:bCs/>
          <w:sz w:val="28"/>
        </w:rPr>
      </w:pPr>
      <w:r>
        <w:rPr>
          <w:rFonts w:hint="eastAsia" w:ascii="仿宋" w:hAnsi="仿宋" w:eastAsia="仿宋"/>
          <w:b/>
          <w:bCs/>
          <w:sz w:val="28"/>
        </w:rPr>
        <w:t>1、信息化应用系统设备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包括公共服务、智能卡应用、物业管理、 信息设施运行管理、信息安全管理、通用业务和专业业务等信息化 应用系统。</w:t>
      </w:r>
    </w:p>
    <w:p>
      <w:pPr>
        <w:ind w:firstLine="560" w:firstLineChars="200"/>
        <w:jc w:val="left"/>
        <w:rPr>
          <w:rFonts w:ascii="仿宋" w:hAnsi="仿宋" w:eastAsia="仿宋"/>
          <w:b/>
          <w:sz w:val="28"/>
        </w:rPr>
      </w:pPr>
      <w:r>
        <w:rPr>
          <w:rFonts w:hint="eastAsia" w:ascii="仿宋" w:hAnsi="仿宋" w:eastAsia="仿宋"/>
          <w:sz w:val="28"/>
        </w:rPr>
        <w:t>2、</w:t>
      </w:r>
      <w:r>
        <w:rPr>
          <w:rFonts w:hint="eastAsia" w:ascii="仿宋" w:hAnsi="仿宋" w:eastAsia="仿宋"/>
          <w:b/>
          <w:sz w:val="28"/>
        </w:rPr>
        <w:t>智能化集成系统设备</w:t>
      </w:r>
    </w:p>
    <w:p>
      <w:pPr>
        <w:ind w:firstLine="560" w:firstLineChars="200"/>
        <w:jc w:val="left"/>
        <w:rPr>
          <w:rFonts w:ascii="仿宋_GB2312" w:hAnsi="仿宋" w:eastAsia="仿宋_GB2312"/>
          <w:sz w:val="28"/>
        </w:rPr>
      </w:pPr>
      <w:r>
        <w:rPr>
          <w:rFonts w:hint="eastAsia" w:ascii="仿宋_GB2312" w:hAnsi="仿宋" w:eastAsia="仿宋_GB2312"/>
          <w:sz w:val="28"/>
        </w:rPr>
        <w:t>（1）系统应包括智能化信息集成(平台)系统与集成信息应用系统;</w:t>
      </w:r>
    </w:p>
    <w:p>
      <w:pPr>
        <w:ind w:firstLine="560" w:firstLineChars="200"/>
        <w:jc w:val="left"/>
        <w:rPr>
          <w:rFonts w:ascii="仿宋_GB2312" w:hAnsi="仿宋" w:eastAsia="仿宋_GB2312"/>
          <w:sz w:val="28"/>
        </w:rPr>
      </w:pPr>
      <w:r>
        <w:rPr>
          <w:rFonts w:hint="eastAsia" w:ascii="仿宋_GB2312" w:hAnsi="仿宋" w:eastAsia="仿宋_GB2312"/>
          <w:sz w:val="28"/>
        </w:rPr>
        <w:t xml:space="preserve">（2）智能化信息集成(平台)系统宜包括操作系统、数据库、集成系统平台应用程序、各纳入集成管理的智能化设施系统与集成互为关联的各类信息通信接口等; </w:t>
      </w:r>
    </w:p>
    <w:p>
      <w:pPr>
        <w:ind w:firstLine="560" w:firstLineChars="200"/>
        <w:jc w:val="left"/>
        <w:rPr>
          <w:rFonts w:ascii="仿宋_GB2312" w:hAnsi="仿宋" w:eastAsia="仿宋_GB2312"/>
          <w:sz w:val="28"/>
        </w:rPr>
      </w:pPr>
      <w:r>
        <w:rPr>
          <w:rFonts w:hint="eastAsia" w:ascii="仿宋_GB2312" w:hAnsi="仿宋" w:eastAsia="仿宋_GB2312"/>
          <w:sz w:val="28"/>
        </w:rPr>
        <w:t xml:space="preserve">（3）集成信息应用系统宜由通用业务基础功能模块和专业业务运营功能模块等组成; </w:t>
      </w:r>
    </w:p>
    <w:p>
      <w:pPr>
        <w:ind w:firstLine="560" w:firstLineChars="200"/>
        <w:jc w:val="left"/>
        <w:rPr>
          <w:rFonts w:ascii="仿宋_GB2312" w:hAnsi="仿宋" w:eastAsia="仿宋_GB2312"/>
          <w:sz w:val="28"/>
        </w:rPr>
      </w:pPr>
      <w:r>
        <w:rPr>
          <w:rFonts w:hint="eastAsia" w:ascii="仿宋_GB2312" w:hAnsi="仿宋" w:eastAsia="仿宋_GB2312"/>
          <w:sz w:val="28"/>
        </w:rPr>
        <w:t>（4）宜具有虚拟化、分布式应用、统一安全管理等整体平台的支撑能力;</w:t>
      </w:r>
    </w:p>
    <w:p>
      <w:pPr>
        <w:ind w:firstLine="560" w:firstLineChars="200"/>
        <w:jc w:val="left"/>
        <w:rPr>
          <w:rFonts w:ascii="仿宋_GB2312" w:hAnsi="仿宋" w:eastAsia="仿宋_GB2312"/>
          <w:sz w:val="28"/>
        </w:rPr>
      </w:pPr>
      <w:r>
        <w:rPr>
          <w:rFonts w:hint="eastAsia" w:ascii="仿宋_GB2312" w:hAnsi="仿宋" w:eastAsia="仿宋_GB2312"/>
          <w:sz w:val="28"/>
        </w:rPr>
        <w:t>（5）宜顺应物联网、云计算、大数据、智慧城市等信息交互多元化和新应用的发展。</w:t>
      </w:r>
    </w:p>
    <w:p>
      <w:pPr>
        <w:ind w:firstLine="562" w:firstLineChars="200"/>
        <w:jc w:val="left"/>
        <w:rPr>
          <w:rFonts w:ascii="仿宋" w:hAnsi="仿宋" w:eastAsia="仿宋"/>
          <w:b/>
          <w:bCs/>
          <w:sz w:val="28"/>
        </w:rPr>
      </w:pPr>
      <w:r>
        <w:rPr>
          <w:rFonts w:hint="eastAsia" w:ascii="仿宋" w:hAnsi="仿宋" w:eastAsia="仿宋"/>
          <w:b/>
          <w:bCs/>
          <w:sz w:val="28"/>
        </w:rPr>
        <w:t>3、信息设施系统设备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信息接入系统、布线系统、移动通信室内信号覆盖系统、卫星通信系统、用户电话交换系统、无线对讲系统、信息网络系统、有线电视及卫星电视接收系统、公共广播系统、会议系统、信息导引及发布系统、时钟系统等信息设施系统。</w:t>
      </w:r>
    </w:p>
    <w:p>
      <w:pPr>
        <w:ind w:firstLine="562" w:firstLineChars="200"/>
        <w:jc w:val="left"/>
        <w:rPr>
          <w:rFonts w:ascii="仿宋" w:hAnsi="仿宋" w:eastAsia="仿宋"/>
          <w:b/>
          <w:bCs/>
          <w:sz w:val="28"/>
        </w:rPr>
      </w:pPr>
      <w:r>
        <w:rPr>
          <w:rFonts w:hint="eastAsia" w:ascii="仿宋" w:hAnsi="仿宋" w:eastAsia="仿宋"/>
          <w:b/>
          <w:bCs/>
          <w:sz w:val="28"/>
        </w:rPr>
        <w:t>4、建筑设备管理系统设备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包括建筑设备监控系统、建筑能效监管系统，以及需纳入管理的其他业务设施系统等。</w:t>
      </w:r>
    </w:p>
    <w:p>
      <w:pPr>
        <w:ind w:firstLine="562" w:firstLineChars="200"/>
        <w:jc w:val="left"/>
        <w:rPr>
          <w:rFonts w:ascii="仿宋" w:hAnsi="仿宋" w:eastAsia="仿宋"/>
          <w:b/>
          <w:bCs/>
          <w:sz w:val="28"/>
        </w:rPr>
      </w:pPr>
      <w:r>
        <w:rPr>
          <w:rFonts w:hint="eastAsia" w:ascii="仿宋" w:hAnsi="仿宋" w:eastAsia="仿宋"/>
          <w:b/>
          <w:bCs/>
          <w:sz w:val="28"/>
        </w:rPr>
        <w:t>5、公共安全系统设备</w:t>
      </w:r>
    </w:p>
    <w:p>
      <w:pPr>
        <w:ind w:firstLine="560" w:firstLineChars="200"/>
        <w:jc w:val="left"/>
        <w:rPr>
          <w:rFonts w:ascii="仿宋" w:hAnsi="仿宋" w:eastAsia="仿宋"/>
          <w:sz w:val="28"/>
        </w:rPr>
      </w:pPr>
      <w:r>
        <w:rPr>
          <w:rFonts w:hint="eastAsia" w:ascii="仿宋" w:hAnsi="仿宋" w:eastAsia="仿宋"/>
          <w:sz w:val="28"/>
        </w:rPr>
        <w:t>包括火灾自动报警系统、安全技术防范系统和应急响应系统等。</w:t>
      </w:r>
    </w:p>
    <w:p>
      <w:pPr>
        <w:ind w:firstLine="562" w:firstLineChars="200"/>
        <w:jc w:val="left"/>
        <w:rPr>
          <w:rFonts w:ascii="仿宋" w:hAnsi="仿宋" w:eastAsia="仿宋"/>
          <w:b/>
          <w:bCs/>
          <w:sz w:val="28"/>
        </w:rPr>
      </w:pPr>
      <w:r>
        <w:rPr>
          <w:rFonts w:hint="eastAsia" w:ascii="仿宋" w:hAnsi="仿宋" w:eastAsia="仿宋"/>
          <w:b/>
          <w:bCs/>
          <w:sz w:val="28"/>
        </w:rPr>
        <w:t>三、智慧建筑运行效果分析</w:t>
      </w:r>
    </w:p>
    <w:p>
      <w:pPr>
        <w:ind w:firstLine="560" w:firstLineChars="200"/>
        <w:jc w:val="left"/>
        <w:rPr>
          <w:rFonts w:ascii="仿宋_GB2312" w:hAnsi="仿宋" w:eastAsia="仿宋_GB2312"/>
          <w:sz w:val="28"/>
        </w:rPr>
      </w:pPr>
      <w:r>
        <w:rPr>
          <w:rFonts w:hint="eastAsia" w:ascii="仿宋_GB2312" w:hAnsi="仿宋" w:eastAsia="仿宋_GB2312"/>
          <w:sz w:val="28"/>
        </w:rPr>
        <w:t>1、是否满足建筑物运行和管理的信息化需要;</w:t>
      </w:r>
    </w:p>
    <w:p>
      <w:pPr>
        <w:ind w:firstLine="560" w:firstLineChars="200"/>
        <w:jc w:val="left"/>
        <w:rPr>
          <w:rFonts w:ascii="仿宋_GB2312" w:hAnsi="仿宋" w:eastAsia="仿宋_GB2312"/>
          <w:sz w:val="28"/>
        </w:rPr>
      </w:pPr>
      <w:r>
        <w:rPr>
          <w:rFonts w:ascii="仿宋_GB2312" w:hAnsi="仿宋" w:eastAsia="仿宋_GB2312"/>
          <w:sz w:val="28"/>
        </w:rPr>
        <w:t>2</w:t>
      </w:r>
      <w:r>
        <w:rPr>
          <w:rFonts w:hint="eastAsia" w:ascii="仿宋_GB2312" w:hAnsi="仿宋" w:eastAsia="仿宋_GB2312"/>
          <w:sz w:val="28"/>
        </w:rPr>
        <w:t>、是否满足对智能化实时信息及历史数据分析、可视化展现的要求;</w:t>
      </w:r>
    </w:p>
    <w:p>
      <w:pPr>
        <w:ind w:firstLine="560" w:firstLineChars="200"/>
        <w:jc w:val="left"/>
        <w:rPr>
          <w:rFonts w:ascii="仿宋_GB2312" w:hAnsi="仿宋" w:eastAsia="仿宋_GB2312"/>
          <w:sz w:val="28"/>
        </w:rPr>
      </w:pPr>
      <w:r>
        <w:rPr>
          <w:rFonts w:hint="eastAsia" w:ascii="仿宋_GB2312" w:hAnsi="仿宋" w:eastAsia="仿宋_GB2312"/>
          <w:sz w:val="28"/>
        </w:rPr>
        <w:t>3、是否具有对建筑内外相关的语音、数据、图像和多媒体等形式的信息予以接受、交换、传输、处理、存储、检索和显示等功能;</w:t>
      </w:r>
    </w:p>
    <w:p>
      <w:pPr>
        <w:ind w:firstLine="560" w:firstLineChars="200"/>
        <w:jc w:val="left"/>
        <w:rPr>
          <w:rFonts w:ascii="仿宋_GB2312" w:hAnsi="仿宋" w:eastAsia="仿宋_GB2312"/>
          <w:sz w:val="28"/>
        </w:rPr>
      </w:pPr>
      <w:r>
        <w:rPr>
          <w:rFonts w:ascii="仿宋_GB2312" w:hAnsi="仿宋" w:eastAsia="仿宋_GB2312"/>
          <w:sz w:val="28"/>
        </w:rPr>
        <w:t>4</w:t>
      </w:r>
      <w:r>
        <w:rPr>
          <w:rFonts w:hint="eastAsia" w:ascii="仿宋_GB2312" w:hAnsi="仿宋" w:eastAsia="仿宋_GB2312"/>
          <w:sz w:val="28"/>
        </w:rPr>
        <w:t xml:space="preserve">、是否融合信息化所需的各类信息设施，并为建筑的使用者及管理者提供信息化应用的基础条件。 </w:t>
      </w:r>
    </w:p>
    <w:p>
      <w:pPr>
        <w:ind w:firstLine="560" w:firstLineChars="200"/>
        <w:jc w:val="left"/>
        <w:rPr>
          <w:rFonts w:ascii="仿宋_GB2312" w:hAnsi="仿宋" w:eastAsia="仿宋_GB2312"/>
          <w:sz w:val="28"/>
        </w:rPr>
      </w:pPr>
      <w:r>
        <w:rPr>
          <w:rFonts w:ascii="仿宋_GB2312" w:hAnsi="仿宋" w:eastAsia="仿宋_GB2312"/>
          <w:sz w:val="28"/>
        </w:rPr>
        <w:t>5</w:t>
      </w:r>
      <w:r>
        <w:rPr>
          <w:rFonts w:hint="eastAsia" w:ascii="仿宋_GB2312" w:hAnsi="仿宋" w:eastAsia="仿宋_GB2312"/>
          <w:sz w:val="28"/>
        </w:rPr>
        <w:t>、是否有效地应对建筑内火灾、非法侵入、自然灾害、重大安全事故等危害人们生命和财产安全的各种突发事件。</w:t>
      </w:r>
      <w:r>
        <w:rPr>
          <w:rFonts w:ascii="仿宋_GB2312" w:hAnsi="仿宋" w:eastAsia="仿宋_GB2312"/>
          <w:sz w:val="28"/>
        </w:rPr>
        <w:t xml:space="preserve"> </w:t>
      </w:r>
    </w:p>
    <w:p>
      <w:pPr>
        <w:ind w:firstLine="562" w:firstLineChars="200"/>
        <w:jc w:val="left"/>
        <w:rPr>
          <w:rFonts w:ascii="仿宋" w:hAnsi="仿宋" w:eastAsia="仿宋"/>
          <w:b/>
          <w:bCs/>
          <w:sz w:val="28"/>
        </w:rPr>
      </w:pPr>
      <w:r>
        <w:rPr>
          <w:rFonts w:hint="eastAsia" w:ascii="仿宋" w:hAnsi="仿宋" w:eastAsia="仿宋"/>
          <w:b/>
          <w:bCs/>
          <w:sz w:val="28"/>
        </w:rPr>
        <w:t>四、效益分析</w:t>
      </w:r>
    </w:p>
    <w:p>
      <w:pPr>
        <w:ind w:firstLine="560" w:firstLineChars="200"/>
        <w:jc w:val="left"/>
        <w:rPr>
          <w:rFonts w:ascii="仿宋_GB2312" w:hAnsi="仿宋" w:eastAsia="仿宋_GB2312"/>
          <w:sz w:val="28"/>
        </w:rPr>
      </w:pPr>
      <w:r>
        <w:rPr>
          <w:rFonts w:hint="eastAsia" w:ascii="仿宋_GB2312" w:hAnsi="仿宋" w:eastAsia="仿宋_GB2312"/>
          <w:sz w:val="28"/>
        </w:rPr>
        <w:t>1、为建筑业主提供哪些便利的服务，保证建筑可持续健康运行；</w:t>
      </w:r>
    </w:p>
    <w:p>
      <w:pPr>
        <w:ind w:firstLine="560" w:firstLineChars="200"/>
        <w:jc w:val="left"/>
        <w:rPr>
          <w:rFonts w:ascii="仿宋_GB2312" w:hAnsi="仿宋" w:eastAsia="仿宋_GB2312"/>
          <w:sz w:val="28"/>
        </w:rPr>
      </w:pPr>
      <w:r>
        <w:rPr>
          <w:rFonts w:hint="eastAsia" w:ascii="仿宋_GB2312" w:hAnsi="仿宋" w:eastAsia="仿宋_GB2312"/>
          <w:sz w:val="28"/>
        </w:rPr>
        <w:t>2、智慧建筑单位面积成本和增量成本；</w:t>
      </w:r>
    </w:p>
    <w:p>
      <w:pPr>
        <w:ind w:firstLine="560" w:firstLineChars="200"/>
        <w:jc w:val="left"/>
        <w:rPr>
          <w:rFonts w:ascii="仿宋_GB2312" w:hAnsi="仿宋" w:eastAsia="仿宋_GB2312"/>
          <w:sz w:val="28"/>
        </w:rPr>
      </w:pPr>
      <w:r>
        <w:rPr>
          <w:rFonts w:ascii="仿宋_GB2312" w:hAnsi="仿宋" w:eastAsia="仿宋_GB2312"/>
          <w:sz w:val="28"/>
        </w:rPr>
        <w:t>3</w:t>
      </w:r>
      <w:r>
        <w:rPr>
          <w:rFonts w:hint="eastAsia" w:ascii="仿宋_GB2312" w:hAnsi="仿宋" w:eastAsia="仿宋_GB2312"/>
          <w:sz w:val="28"/>
        </w:rPr>
        <w:t>、创新点和亮点：关键技术、模式创新等。</w:t>
      </w:r>
    </w:p>
    <w:p>
      <w:pPr>
        <w:spacing w:before="156" w:beforeLines="50" w:after="156" w:afterLines="50"/>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中国好建筑—智慧建筑评价表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智慧建筑设备情况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信息化应用系统设备：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智能化集成系统设备：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信息设施系统设备：</w:t>
            </w:r>
          </w:p>
          <w:p>
            <w:pPr>
              <w:spacing w:line="360" w:lineRule="auto"/>
              <w:rPr>
                <w:rFonts w:ascii="仿宋_GB2312" w:hAnsi="仿宋" w:eastAsia="仿宋_GB2312"/>
                <w:sz w:val="24"/>
                <w:szCs w:val="24"/>
              </w:rPr>
            </w:pPr>
          </w:p>
          <w:p>
            <w:pPr>
              <w:spacing w:line="360" w:lineRule="auto"/>
              <w:rPr>
                <w:rFonts w:ascii="仿宋_GB2312" w:hAnsi="仿宋" w:eastAsia="仿宋_GB2312"/>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建筑设备管理系统设备：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公共安全系统设备：</w:t>
            </w:r>
          </w:p>
          <w:p>
            <w:pPr>
              <w:spacing w:line="360" w:lineRule="auto"/>
              <w:jc w:val="left"/>
              <w:rPr>
                <w:rFonts w:ascii="仿宋_GB2312" w:hAnsi="仿宋" w:eastAsia="仿宋_GB2312"/>
                <w:sz w:val="24"/>
                <w:szCs w:val="24"/>
              </w:rPr>
            </w:pPr>
          </w:p>
          <w:p>
            <w:pPr>
              <w:spacing w:line="360" w:lineRule="auto"/>
              <w:jc w:val="lef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智慧化运行效果分析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（从智慧、便利、节能、低碳、绿色、品质、安全等角度分析智慧建筑运行效果）</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hint="eastAsia" w:ascii="Times New Roman" w:hAnsi="Times New Roman" w:eastAsia="黑体" w:cs="Times New Roman"/>
                <w:sz w:val="24"/>
                <w:szCs w:val="24"/>
              </w:rPr>
            </w:pPr>
          </w:p>
          <w:p>
            <w:pPr>
              <w:rPr>
                <w:rFonts w:ascii="Times New Roman" w:hAnsi="Times New Roman" w:eastAsia="黑体" w:cs="Times New Roman"/>
                <w:sz w:val="24"/>
                <w:szCs w:val="24"/>
              </w:rPr>
            </w:pPr>
          </w:p>
        </w:tc>
      </w:tr>
    </w:tbl>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 4" 中国好建筑”—健康建筑评价细则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二、健康建筑设备和运行评价</w:t>
      </w:r>
    </w:p>
    <w:p>
      <w:pPr>
        <w:ind w:firstLine="562" w:firstLineChars="200"/>
        <w:rPr>
          <w:rFonts w:ascii="Times New Roman" w:hAnsi="Times New Roman" w:eastAsia="仿宋_GB2312"/>
          <w:b/>
          <w:sz w:val="28"/>
          <w:szCs w:val="28"/>
        </w:rPr>
      </w:pPr>
      <w:r>
        <w:rPr>
          <w:rFonts w:ascii="Times New Roman" w:hAnsi="Times New Roman" w:eastAsia="仿宋_GB2312"/>
          <w:b/>
          <w:sz w:val="28"/>
          <w:szCs w:val="28"/>
        </w:rPr>
        <w:t>1、</w:t>
      </w:r>
      <w:r>
        <w:rPr>
          <w:rFonts w:hint="eastAsia" w:ascii="Times New Roman" w:hAnsi="Times New Roman" w:eastAsia="仿宋_GB2312"/>
          <w:b/>
          <w:sz w:val="28"/>
          <w:szCs w:val="28"/>
        </w:rPr>
        <w:t xml:space="preserve">室内环境处理设备评价 </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（1）采取有效措施避免有气味、颗粒物、臭氧等散发源空间的污染物传统到室内其他空间或室外活动场所。</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（2）采取有效措施保障厨房的排风要求，防止厨房油烟扩散至其他室内空间及室外活动场所。</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（3）建筑外墙、幕墙具有较好的气密性以及阻隔室外污染物穿透进入室内。</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设置空气净化装置降低室内污染物浓度：设置具有空气净化功能的集中式新风系统、分户式新风系统或窗式通风器；未设置新风系统的建筑，在循环风或空调回风系统内部设置净化装置，或在室内设置独立的空气净化装置。</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（5）具有监测P</w:t>
      </w:r>
      <w:r>
        <w:rPr>
          <w:rFonts w:ascii="Times New Roman" w:hAnsi="Times New Roman" w:eastAsia="仿宋_GB2312"/>
          <w:sz w:val="28"/>
          <w:szCs w:val="28"/>
        </w:rPr>
        <w:t>M</w:t>
      </w:r>
      <w:r>
        <w:rPr>
          <w:rFonts w:ascii="Times New Roman" w:hAnsi="Times New Roman" w:eastAsia="仿宋_GB2312"/>
          <w:sz w:val="28"/>
          <w:szCs w:val="28"/>
          <w:vertAlign w:val="subscript"/>
        </w:rPr>
        <w:t>2.5</w:t>
      </w:r>
      <w:r>
        <w:rPr>
          <w:rFonts w:hint="eastAsia" w:ascii="Times New Roman" w:hAnsi="Times New Roman" w:eastAsia="仿宋_GB2312"/>
          <w:sz w:val="28"/>
          <w:szCs w:val="28"/>
        </w:rPr>
        <w:t>、P</w:t>
      </w:r>
      <w:r>
        <w:rPr>
          <w:rFonts w:ascii="Times New Roman" w:hAnsi="Times New Roman" w:eastAsia="仿宋_GB2312"/>
          <w:sz w:val="28"/>
          <w:szCs w:val="28"/>
        </w:rPr>
        <w:t>M</w:t>
      </w:r>
      <w:r>
        <w:rPr>
          <w:rFonts w:ascii="Times New Roman" w:hAnsi="Times New Roman" w:eastAsia="仿宋_GB2312"/>
          <w:sz w:val="28"/>
          <w:szCs w:val="28"/>
          <w:vertAlign w:val="subscript"/>
        </w:rPr>
        <w:t>10</w:t>
      </w:r>
      <w:r>
        <w:rPr>
          <w:rFonts w:hint="eastAsia" w:ascii="Times New Roman" w:hAnsi="Times New Roman" w:eastAsia="仿宋_GB2312"/>
          <w:sz w:val="28"/>
          <w:szCs w:val="28"/>
        </w:rPr>
        <w:t>、C</w:t>
      </w:r>
      <w:r>
        <w:rPr>
          <w:rFonts w:ascii="Times New Roman" w:hAnsi="Times New Roman" w:eastAsia="仿宋_GB2312"/>
          <w:sz w:val="28"/>
          <w:szCs w:val="28"/>
        </w:rPr>
        <w:t>O</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浓度等的空气质量监测系统，且具有储存至少6个月的监测数据和实时显示等功能。</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（6）空气质量监测系统与所有室内空气质量调控设备组成自动控制系统，且具备主要污染物浓度参数限制设定及越限报警等功能。</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（7）照明控制系统可按需进行自动调节，与遮阳装置联动。</w:t>
      </w:r>
    </w:p>
    <w:p>
      <w:pPr>
        <w:ind w:left="980"/>
        <w:rPr>
          <w:rFonts w:ascii="Times New Roman" w:hAnsi="Times New Roman" w:eastAsia="仿宋_GB2312"/>
          <w:b/>
          <w:sz w:val="28"/>
          <w:szCs w:val="28"/>
        </w:rPr>
      </w:pPr>
      <w:r>
        <w:rPr>
          <w:rFonts w:hint="eastAsia" w:ascii="Times New Roman" w:hAnsi="Times New Roman" w:eastAsia="仿宋_GB2312"/>
          <w:b/>
          <w:sz w:val="28"/>
          <w:szCs w:val="28"/>
        </w:rPr>
        <w:t>2、室内环境评价</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（1）空气温湿度指标</w:t>
      </w:r>
    </w:p>
    <w:tbl>
      <w:tblPr>
        <w:tblStyle w:val="4"/>
        <w:tblW w:w="0" w:type="auto"/>
        <w:jc w:val="center"/>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1459"/>
        <w:gridCol w:w="1460"/>
        <w:gridCol w:w="1460"/>
        <w:gridCol w:w="1476"/>
        <w:gridCol w:w="1461"/>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序号</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参数</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单位</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标准值</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备注</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460"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温度</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22-28</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夏季空调</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continue"/>
            <w:vAlign w:val="center"/>
          </w:tcPr>
          <w:p>
            <w:pPr>
              <w:spacing w:line="360" w:lineRule="auto"/>
              <w:jc w:val="center"/>
              <w:rPr>
                <w:rFonts w:ascii="仿宋_GB2312" w:hAnsi="Times New Roman" w:eastAsia="仿宋_GB2312"/>
                <w:sz w:val="28"/>
                <w:szCs w:val="28"/>
              </w:rPr>
            </w:pPr>
          </w:p>
        </w:tc>
        <w:tc>
          <w:tcPr>
            <w:tcW w:w="1460" w:type="dxa"/>
            <w:vMerge w:val="continue"/>
            <w:vAlign w:val="center"/>
          </w:tcPr>
          <w:p>
            <w:pPr>
              <w:spacing w:line="360" w:lineRule="auto"/>
              <w:jc w:val="center"/>
              <w:rPr>
                <w:rFonts w:ascii="仿宋_GB2312" w:hAnsi="Times New Roman" w:eastAsia="仿宋_GB2312"/>
                <w:sz w:val="28"/>
                <w:szCs w:val="28"/>
              </w:rPr>
            </w:pP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16-24</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冬季采暖</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1460"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湿度</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40-80</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夏季空调</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continue"/>
            <w:vAlign w:val="center"/>
          </w:tcPr>
          <w:p>
            <w:pPr>
              <w:spacing w:line="360" w:lineRule="auto"/>
              <w:jc w:val="center"/>
              <w:rPr>
                <w:rFonts w:ascii="仿宋_GB2312" w:hAnsi="Times New Roman" w:eastAsia="仿宋_GB2312"/>
                <w:sz w:val="28"/>
                <w:szCs w:val="28"/>
              </w:rPr>
            </w:pPr>
          </w:p>
        </w:tc>
        <w:tc>
          <w:tcPr>
            <w:tcW w:w="1460" w:type="dxa"/>
            <w:vMerge w:val="continue"/>
            <w:vAlign w:val="center"/>
          </w:tcPr>
          <w:p>
            <w:pPr>
              <w:spacing w:line="360" w:lineRule="auto"/>
              <w:jc w:val="center"/>
              <w:rPr>
                <w:rFonts w:ascii="仿宋_GB2312" w:hAnsi="Times New Roman" w:eastAsia="仿宋_GB2312"/>
                <w:sz w:val="28"/>
                <w:szCs w:val="28"/>
              </w:rPr>
            </w:pP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30-60</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冬季采暖</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1460"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空气流速</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m/s</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0.3</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夏季空调</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continue"/>
            <w:vAlign w:val="center"/>
          </w:tcPr>
          <w:p>
            <w:pPr>
              <w:spacing w:line="360" w:lineRule="auto"/>
              <w:jc w:val="center"/>
              <w:rPr>
                <w:rFonts w:ascii="仿宋_GB2312" w:hAnsi="Times New Roman" w:eastAsia="仿宋_GB2312"/>
                <w:sz w:val="28"/>
                <w:szCs w:val="28"/>
              </w:rPr>
            </w:pPr>
          </w:p>
        </w:tc>
        <w:tc>
          <w:tcPr>
            <w:tcW w:w="1460" w:type="dxa"/>
            <w:vMerge w:val="continue"/>
            <w:vAlign w:val="center"/>
          </w:tcPr>
          <w:p>
            <w:pPr>
              <w:spacing w:line="360" w:lineRule="auto"/>
              <w:jc w:val="center"/>
              <w:rPr>
                <w:rFonts w:ascii="仿宋_GB2312" w:hAnsi="Times New Roman" w:eastAsia="仿宋_GB2312"/>
                <w:sz w:val="28"/>
                <w:szCs w:val="28"/>
              </w:rPr>
            </w:pP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m/s</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0.2</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冬季采暖</w:t>
            </w:r>
          </w:p>
        </w:tc>
      </w:tr>
    </w:tbl>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（2）噪声指标</w:t>
      </w:r>
    </w:p>
    <w:tbl>
      <w:tblPr>
        <w:tblStyle w:val="4"/>
        <w:tblW w:w="7946" w:type="dxa"/>
        <w:jc w:val="center"/>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5387"/>
        <w:gridCol w:w="2559"/>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房间类型</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噪声级别要求</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有睡眠要求的主要功能房间</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≤37dB(A)</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集中精力、提高工作效率的功能房间</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≤40dB(A)</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通过自然声进行语言交流的场所</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≤45dB(A)</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通过扩声系统传输语音信息的场所</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≤50dB(A)</w:t>
            </w:r>
          </w:p>
        </w:tc>
      </w:tr>
    </w:tbl>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（3）照明指标</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室内人员长时间停留场所，其光源色温不应高于4000K，墙面的平均照顾不应低于50Lx、顶棚的平均照度不应低于50Lx。</w:t>
      </w:r>
    </w:p>
    <w:p>
      <w:pPr>
        <w:snapToGrid w:val="0"/>
        <w:spacing w:line="360" w:lineRule="auto"/>
        <w:rPr>
          <w:rFonts w:ascii="仿宋_GB2312" w:eastAsia="仿宋_GB2312"/>
          <w:b/>
          <w:bCs/>
          <w:sz w:val="28"/>
          <w:szCs w:val="28"/>
        </w:rPr>
      </w:pPr>
      <w:r>
        <w:rPr>
          <w:rFonts w:hint="eastAsia" w:ascii="仿宋_GB2312" w:eastAsia="仿宋_GB2312"/>
          <w:b/>
          <w:bCs/>
          <w:sz w:val="28"/>
          <w:szCs w:val="28"/>
        </w:rPr>
        <w:t>三、效益分析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1、健康建筑单位面积成本和增量成本；</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2、创新点和亮点：关键技术、模式创新等。</w:t>
      </w: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中国好建筑—健康建筑评价表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81"/>
        <w:gridCol w:w="206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建筑年人均能耗（kw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健康建筑技术创新点和解决方案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（综合考虑健康建筑的技术创新方案，包括冷热舒适、新风、空气质量、光、声等室内环境优质解决方案）</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健康建筑运行效果（测试面积不少于总面积1</w:t>
            </w:r>
            <w:r>
              <w:rPr>
                <w:rFonts w:ascii="Times New Roman" w:hAnsi="Times New Roman" w:eastAsia="黑体" w:cs="Times New Roman"/>
                <w:sz w:val="24"/>
                <w:szCs w:val="24"/>
              </w:rPr>
              <w:t>0%</w:t>
            </w:r>
            <w:r>
              <w:rPr>
                <w:rFonts w:hint="eastAsia" w:ascii="Times New Roman" w:hAnsi="Times New Roman" w:eastAsia="黑体" w:cs="Times New Roman"/>
                <w:sz w:val="24"/>
                <w:szCs w:val="24"/>
              </w:rPr>
              <w:t>）</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002"/>
        <w:gridCol w:w="979"/>
        <w:gridCol w:w="826"/>
        <w:gridCol w:w="1130"/>
        <w:gridCol w:w="1134"/>
        <w:gridCol w:w="829"/>
        <w:gridCol w:w="108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4" w:type="pct"/>
            <w:shd w:val="clear" w:color="auto" w:fill="auto"/>
            <w:vAlign w:val="center"/>
          </w:tcPr>
          <w:p>
            <w:pPr>
              <w:rPr>
                <w:rFonts w:ascii="黑体" w:hAnsi="黑体" w:eastAsia="黑体"/>
                <w:sz w:val="18"/>
                <w:szCs w:val="18"/>
              </w:rPr>
            </w:pPr>
          </w:p>
        </w:tc>
        <w:tc>
          <w:tcPr>
            <w:tcW w:w="570"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温度</w:t>
            </w:r>
          </w:p>
        </w:tc>
        <w:tc>
          <w:tcPr>
            <w:tcW w:w="557"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湿度</w:t>
            </w:r>
          </w:p>
        </w:tc>
        <w:tc>
          <w:tcPr>
            <w:tcW w:w="470" w:type="pct"/>
            <w:shd w:val="clear" w:color="auto" w:fill="auto"/>
            <w:vAlign w:val="center"/>
          </w:tcPr>
          <w:p>
            <w:pPr>
              <w:rPr>
                <w:rFonts w:ascii="黑体" w:hAnsi="黑体" w:eastAsia="黑体"/>
                <w:b/>
                <w:sz w:val="18"/>
                <w:szCs w:val="18"/>
              </w:rPr>
            </w:pPr>
            <w:r>
              <w:rPr>
                <w:rFonts w:hint="eastAsia" w:ascii="黑体" w:hAnsi="黑体" w:eastAsia="黑体"/>
                <w:b/>
                <w:sz w:val="18"/>
                <w:szCs w:val="18"/>
              </w:rPr>
              <w:t>新风量</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CO</w:t>
            </w:r>
            <w:r>
              <w:rPr>
                <w:rFonts w:ascii="黑体" w:hAnsi="黑体" w:eastAsia="黑体"/>
                <w:b/>
                <w:sz w:val="18"/>
                <w:szCs w:val="18"/>
                <w:vertAlign w:val="subscript"/>
              </w:rPr>
              <w:t>2</w:t>
            </w:r>
            <w:r>
              <w:rPr>
                <w:rFonts w:hint="eastAsia" w:ascii="黑体" w:hAnsi="黑体" w:eastAsia="黑体"/>
                <w:b/>
                <w:sz w:val="18"/>
                <w:szCs w:val="18"/>
              </w:rPr>
              <w:t>浓度</w:t>
            </w:r>
          </w:p>
        </w:tc>
        <w:tc>
          <w:tcPr>
            <w:tcW w:w="645"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噪声</w:t>
            </w:r>
          </w:p>
        </w:tc>
        <w:tc>
          <w:tcPr>
            <w:tcW w:w="472"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光照度</w:t>
            </w:r>
          </w:p>
        </w:tc>
        <w:tc>
          <w:tcPr>
            <w:tcW w:w="618"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其他1</w:t>
            </w:r>
          </w:p>
        </w:tc>
        <w:tc>
          <w:tcPr>
            <w:tcW w:w="461"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w:t>
            </w:r>
            <w:r>
              <w:rPr>
                <w:rFonts w:ascii="黑体" w:hAnsi="黑体" w:eastAsia="黑体"/>
                <w:sz w:val="18"/>
                <w:szCs w:val="18"/>
              </w:rPr>
              <w:t>2</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测点3</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测点4</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测点5</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测点6</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测点7</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测点8</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测点9</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r>
              <w:rPr>
                <w:rFonts w:ascii="黑体" w:hAnsi="黑体" w:eastAsia="黑体"/>
                <w:sz w:val="18"/>
                <w:szCs w:val="18"/>
              </w:rPr>
              <w:t>0</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bl>
    <w:p>
      <w:pPr>
        <w:rPr>
          <w:rFonts w:hint="eastAsia"/>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附件5：“中国好建筑”—超低能耗或近零能耗建筑评价细则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二、超低能耗或近零能耗建筑建建筑评价</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1、保温隔热性能更高的非透明围护结构；</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2、保温隔热性能和气密性能更高的外窗；</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3、无热桥的设计与施工；</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4、建筑整体的高气密性；</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5、高效新风热回收；</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6、充分利用可再生能源。</w:t>
      </w:r>
    </w:p>
    <w:p>
      <w:pPr>
        <w:snapToGrid w:val="0"/>
        <w:spacing w:line="360" w:lineRule="auto"/>
        <w:ind w:left="560"/>
        <w:rPr>
          <w:rFonts w:ascii="仿宋_GB2312" w:eastAsia="仿宋_GB2312"/>
          <w:b/>
          <w:bCs/>
          <w:sz w:val="28"/>
          <w:szCs w:val="32"/>
        </w:rPr>
      </w:pPr>
      <w:r>
        <w:rPr>
          <w:rFonts w:hint="eastAsia" w:ascii="仿宋_GB2312" w:eastAsia="仿宋_GB2312"/>
          <w:b/>
          <w:bCs/>
          <w:sz w:val="28"/>
          <w:szCs w:val="32"/>
        </w:rPr>
        <w:t>三、效益分析</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1、超低能耗或近零能耗建筑建单位面积成本、增量成本。</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、创新点和亮点：关键技术、模式创新等。</w:t>
      </w:r>
    </w:p>
    <w:p>
      <w:pPr>
        <w:snapToGrid w:val="0"/>
        <w:spacing w:line="360" w:lineRule="auto"/>
        <w:ind w:left="560"/>
        <w:rPr>
          <w:rFonts w:ascii="仿宋_GB2312" w:eastAsia="仿宋_GB2312"/>
          <w:b/>
          <w:bCs/>
          <w:sz w:val="28"/>
          <w:szCs w:val="32"/>
        </w:rPr>
      </w:pPr>
    </w:p>
    <w:p>
      <w:pPr>
        <w:snapToGrid w:val="0"/>
        <w:spacing w:line="360" w:lineRule="auto"/>
        <w:ind w:left="56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pacing w:before="156" w:beforeLines="50" w:after="156" w:afterLines="5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中国好建筑—超低能耗或近零能耗建筑评价表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81"/>
        <w:gridCol w:w="206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建筑年人均能耗（kw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可再生能源类型</w:t>
            </w:r>
          </w:p>
        </w:tc>
        <w:tc>
          <w:tcPr>
            <w:tcW w:w="1296" w:type="pc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可再生能源应用比例（%）</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超低能耗或近零能耗建筑创新点和解决方案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（综合考虑超低能耗或近零能耗建筑的技术创新方案，包括建筑总体规划设计、围护结构、用能系统、可再生能源、无热桥施工技术等）</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hint="eastAsia" w:ascii="Times New Roman" w:hAnsi="Times New Roman" w:eastAsia="黑体" w:cs="Times New Roman"/>
                <w:sz w:val="24"/>
                <w:szCs w:val="24"/>
              </w:rPr>
            </w:pPr>
          </w:p>
          <w:p>
            <w:pPr>
              <w:rPr>
                <w:rFonts w:ascii="Times New Roman" w:hAnsi="Times New Roman" w:eastAsia="黑体" w:cs="Times New Roman"/>
                <w:sz w:val="24"/>
                <w:szCs w:val="24"/>
              </w:rPr>
            </w:pPr>
          </w:p>
          <w:p>
            <w:pPr>
              <w:rPr>
                <w:rFonts w:hint="eastAsia"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spacing w:line="5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建筑用能运行数据（改造前）—2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2"/>
        <w:gridCol w:w="979"/>
        <w:gridCol w:w="826"/>
        <w:gridCol w:w="1130"/>
        <w:gridCol w:w="1134"/>
        <w:gridCol w:w="829"/>
        <w:gridCol w:w="10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超低能耗建筑运行状态（测试面积不少于总面积1</w:t>
            </w:r>
            <w:r>
              <w:rPr>
                <w:rFonts w:ascii="Times New Roman" w:hAnsi="Times New Roman" w:eastAsia="黑体" w:cs="Times New Roman"/>
                <w:sz w:val="24"/>
                <w:szCs w:val="24"/>
              </w:rPr>
              <w:t>0%</w:t>
            </w:r>
            <w:r>
              <w:rPr>
                <w:rFonts w:hint="eastAsia" w:ascii="Times New Roman" w:hAnsi="Times New Roman" w:eastAsia="黑体" w:cs="Times New Roman"/>
                <w:sz w:val="24"/>
                <w:szCs w:val="24"/>
              </w:rPr>
              <w:t>）</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002"/>
        <w:gridCol w:w="979"/>
        <w:gridCol w:w="826"/>
        <w:gridCol w:w="1130"/>
        <w:gridCol w:w="1134"/>
        <w:gridCol w:w="829"/>
        <w:gridCol w:w="108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4" w:type="pct"/>
            <w:shd w:val="clear" w:color="auto" w:fill="auto"/>
            <w:vAlign w:val="center"/>
          </w:tcPr>
          <w:p>
            <w:pPr>
              <w:rPr>
                <w:rFonts w:ascii="黑体" w:hAnsi="黑体" w:eastAsia="黑体"/>
                <w:sz w:val="18"/>
                <w:szCs w:val="18"/>
              </w:rPr>
            </w:pPr>
          </w:p>
        </w:tc>
        <w:tc>
          <w:tcPr>
            <w:tcW w:w="570"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温度</w:t>
            </w:r>
          </w:p>
        </w:tc>
        <w:tc>
          <w:tcPr>
            <w:tcW w:w="557"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湿度</w:t>
            </w:r>
          </w:p>
        </w:tc>
        <w:tc>
          <w:tcPr>
            <w:tcW w:w="470" w:type="pct"/>
            <w:shd w:val="clear" w:color="auto" w:fill="auto"/>
            <w:vAlign w:val="center"/>
          </w:tcPr>
          <w:p>
            <w:pPr>
              <w:rPr>
                <w:rFonts w:ascii="黑体" w:hAnsi="黑体" w:eastAsia="黑体"/>
                <w:b/>
                <w:sz w:val="18"/>
                <w:szCs w:val="18"/>
              </w:rPr>
            </w:pPr>
            <w:r>
              <w:rPr>
                <w:rFonts w:hint="eastAsia" w:ascii="黑体" w:hAnsi="黑体" w:eastAsia="黑体"/>
                <w:b/>
                <w:sz w:val="18"/>
                <w:szCs w:val="18"/>
              </w:rPr>
              <w:t>新风量</w:t>
            </w:r>
          </w:p>
        </w:tc>
        <w:tc>
          <w:tcPr>
            <w:tcW w:w="643"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隔声</w:t>
            </w:r>
          </w:p>
        </w:tc>
        <w:tc>
          <w:tcPr>
            <w:tcW w:w="645"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气密性</w:t>
            </w:r>
          </w:p>
        </w:tc>
        <w:tc>
          <w:tcPr>
            <w:tcW w:w="472"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其他1</w:t>
            </w:r>
          </w:p>
        </w:tc>
        <w:tc>
          <w:tcPr>
            <w:tcW w:w="618"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w:t>
            </w:r>
            <w:r>
              <w:rPr>
                <w:rFonts w:ascii="黑体" w:hAnsi="黑体" w:eastAsia="黑体"/>
                <w:b/>
                <w:sz w:val="18"/>
                <w:szCs w:val="18"/>
              </w:rPr>
              <w:t>2</w:t>
            </w:r>
          </w:p>
        </w:tc>
        <w:tc>
          <w:tcPr>
            <w:tcW w:w="461"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w:t>
            </w:r>
            <w:r>
              <w:rPr>
                <w:rFonts w:ascii="黑体" w:hAnsi="黑体" w:eastAsia="黑体"/>
                <w:b/>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w:t>
            </w:r>
            <w:r>
              <w:rPr>
                <w:rFonts w:ascii="黑体" w:hAnsi="黑体" w:eastAsia="黑体"/>
                <w:sz w:val="18"/>
                <w:szCs w:val="18"/>
              </w:rPr>
              <w:t>2</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测点3</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测点4</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测点5</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测点6</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测点7</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测点8</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测点9</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r>
              <w:rPr>
                <w:rFonts w:ascii="黑体" w:hAnsi="黑体" w:eastAsia="黑体"/>
                <w:sz w:val="18"/>
                <w:szCs w:val="18"/>
              </w:rPr>
              <w:t>0</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bl>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附件6 ：“中国好建筑”—老旧小区建筑改造能效提升评价细则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二、能耗诊断和统计信息</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1、节能诊断分析：分析改造前1</w:t>
      </w:r>
      <w:r>
        <w:rPr>
          <w:rFonts w:ascii="仿宋_GB2312" w:eastAsia="仿宋_GB2312"/>
          <w:sz w:val="28"/>
          <w:szCs w:val="32"/>
        </w:rPr>
        <w:t>-3</w:t>
      </w:r>
      <w:r>
        <w:rPr>
          <w:rFonts w:hint="eastAsia" w:ascii="仿宋_GB2312" w:eastAsia="仿宋_GB2312"/>
          <w:sz w:val="28"/>
          <w:szCs w:val="32"/>
        </w:rPr>
        <w:t>年项目的总能耗，单位面积能耗、单位人居能耗。分析改造后项目的总能耗，单位面积能耗、单位人居能耗。</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、能耗分析：分析建筑节能量和节能率。</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三、能效提升主要内容和方案</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1、节能改造内容和方案：节能改造目标，用能设备系统节能改造的详细内容、围护结构节能改造的详细内容，节能改造的综合性解决方案和关键技术。</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四、经济效益分析</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1、单项节能量分析：分析改造的单项建筑用能系统的节能率；</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2、整体节能效果分析：分析建筑整体节能效果；</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3、节能改造投资分析：节能改造投资回收方式、节能能源费用及投资回收期；</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、创新点和亮点：关键技术、模式创新等。</w:t>
      </w:r>
    </w:p>
    <w:p>
      <w:pPr>
        <w:snapToGrid w:val="0"/>
        <w:spacing w:line="360" w:lineRule="auto"/>
        <w:ind w:firstLine="560" w:firstLineChars="200"/>
        <w:rPr>
          <w:rFonts w:ascii="仿宋_GB2312" w:eastAsia="仿宋_GB2312"/>
          <w:sz w:val="28"/>
          <w:szCs w:val="32"/>
        </w:rPr>
      </w:pP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w:t>
      </w:r>
      <w:r>
        <w:rPr>
          <w:rFonts w:hint="eastAsia" w:ascii="方正小标宋简体" w:eastAsia="方正小标宋简体"/>
          <w:sz w:val="32"/>
          <w:szCs w:val="32"/>
        </w:rPr>
        <w:t>老旧小区改造”</w:t>
      </w:r>
      <w:r>
        <w:rPr>
          <w:rFonts w:hint="eastAsia" w:ascii="Times New Roman" w:hAnsi="Times New Roman" w:eastAsia="黑体" w:cs="Times New Roman"/>
          <w:sz w:val="32"/>
          <w:szCs w:val="32"/>
        </w:rPr>
        <w:t>”能效提升评价表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81"/>
        <w:gridCol w:w="206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节能量</w:t>
            </w:r>
          </w:p>
        </w:tc>
        <w:tc>
          <w:tcPr>
            <w:tcW w:w="1296" w:type="pc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节能率</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联系人和电话</w:t>
            </w:r>
          </w:p>
        </w:tc>
        <w:tc>
          <w:tcPr>
            <w:tcW w:w="3682" w:type="pct"/>
            <w:gridSpan w:val="3"/>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节能改造内容（在以下选项中打“√”）：</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□围护结构                □供暖系统          □通风空调系统   </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□生活热水系统            □给排水系统        □供配电</w:t>
            </w:r>
            <w:r>
              <w:rPr>
                <w:rFonts w:hint="eastAsia" w:ascii="Times New Roman" w:hAnsi="Times New Roman" w:eastAsia="黑体" w:cs="Times New Roman"/>
                <w:sz w:val="24"/>
                <w:szCs w:val="24"/>
              </w:rPr>
              <w:t>、照明</w:t>
            </w:r>
            <w:r>
              <w:rPr>
                <w:rFonts w:ascii="Times New Roman" w:hAnsi="Times New Roman" w:eastAsia="黑体" w:cs="Times New Roman"/>
                <w:sz w:val="24"/>
                <w:szCs w:val="24"/>
              </w:rPr>
              <w:t>系统</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□监测与控制系统          □可再生能源利用</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□其他</w:t>
            </w:r>
            <w:r>
              <w:rPr>
                <w:rFonts w:hint="eastAsia" w:ascii="Times New Roman" w:hAnsi="Times New Roman"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（综合考虑围护结构、机电系统、可再生能源系统、运行管理等，提出系统改造方案）</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建筑用能运行数据（改造前）—2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2"/>
        <w:gridCol w:w="979"/>
        <w:gridCol w:w="826"/>
        <w:gridCol w:w="1130"/>
        <w:gridCol w:w="1134"/>
        <w:gridCol w:w="829"/>
        <w:gridCol w:w="10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建筑用能运行数据（改造后）—2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2"/>
        <w:gridCol w:w="979"/>
        <w:gridCol w:w="826"/>
        <w:gridCol w:w="1130"/>
        <w:gridCol w:w="1134"/>
        <w:gridCol w:w="829"/>
        <w:gridCol w:w="10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p>
      <w:pPr>
        <w:snapToGrid w:val="0"/>
        <w:spacing w:line="500" w:lineRule="exact"/>
        <w:ind w:firstLine="560" w:firstLineChars="200"/>
        <w:jc w:val="center"/>
        <w:rPr>
          <w:rFonts w:ascii="仿宋_GB2312" w:eastAsia="仿宋_GB2312"/>
          <w:sz w:val="28"/>
          <w:szCs w:val="32"/>
        </w:rPr>
      </w:pPr>
      <m:oMath>
        <m:r>
          <m:rPr>
            <m:sty m:val="p"/>
          </m:rPr>
          <w:rPr>
            <w:rFonts w:hint="eastAsia" w:ascii="Cambria Math" w:hAnsi="Cambria Math" w:eastAsia="仿宋_GB2312"/>
            <w:sz w:val="28"/>
            <w:szCs w:val="32"/>
          </w:rPr>
          <m:t>综合能耗（</m:t>
        </m:r>
        <m:r>
          <m:rPr>
            <m:sty m:val="p"/>
          </m:rPr>
          <w:rPr>
            <w:rFonts w:ascii="Cambria Math" w:hAnsi="Cambria Math" w:eastAsia="仿宋_GB2312"/>
            <w:sz w:val="28"/>
            <w:szCs w:val="32"/>
          </w:rPr>
          <m:t>KWh</m:t>
        </m:r>
        <m:r>
          <m:rPr>
            <m:sty m:val="p"/>
          </m:rPr>
          <w:rPr>
            <w:rFonts w:hint="eastAsia" w:ascii="Cambria Math" w:hAnsi="Cambria Math" w:eastAsia="仿宋_GB2312"/>
            <w:sz w:val="28"/>
            <w:szCs w:val="32"/>
          </w:rPr>
          <m:t>）=</m:t>
        </m:r>
        <m:nary>
          <m:naryPr>
            <m:chr m:val="∑"/>
            <m:limLoc m:val="undOvr"/>
            <m:ctrlPr>
              <w:rPr>
                <w:rFonts w:ascii="Cambria Math" w:hAnsi="Cambria Math" w:eastAsia="仿宋_GB2312"/>
                <w:sz w:val="28"/>
                <w:szCs w:val="32"/>
              </w:rPr>
            </m:ctrlPr>
          </m:naryPr>
          <m:sub>
            <m:r>
              <m:rPr/>
              <w:rPr>
                <w:rFonts w:hint="eastAsia" w:ascii="Cambria Math" w:hAnsi="Cambria Math" w:eastAsia="仿宋_GB2312"/>
                <w:sz w:val="28"/>
                <w:szCs w:val="32"/>
              </w:rPr>
              <m:t>1</m:t>
            </m:r>
            <m:ctrlPr>
              <w:rPr>
                <w:rFonts w:ascii="Cambria Math" w:hAnsi="Cambria Math" w:eastAsia="仿宋_GB2312"/>
                <w:sz w:val="28"/>
                <w:szCs w:val="32"/>
              </w:rPr>
            </m:ctrlPr>
          </m:sub>
          <m:sup>
            <m:r>
              <m:rPr/>
              <w:rPr>
                <w:rFonts w:hint="eastAsia" w:ascii="Cambria Math" w:hAnsi="Cambria Math" w:eastAsia="仿宋_GB2312"/>
                <w:sz w:val="28"/>
                <w:szCs w:val="32"/>
              </w:rPr>
              <m:t>12</m:t>
            </m:r>
            <m:ctrlPr>
              <w:rPr>
                <w:rFonts w:ascii="Cambria Math" w:hAnsi="Cambria Math" w:eastAsia="仿宋_GB2312"/>
                <w:sz w:val="28"/>
                <w:szCs w:val="32"/>
              </w:rPr>
            </m:ctrlPr>
          </m:sup>
          <m:e>
            <m:r>
              <m:rPr/>
              <w:rPr>
                <w:rFonts w:hint="eastAsia" w:ascii="Cambria Math" w:hAnsi="Cambria Math" w:eastAsia="仿宋_GB2312"/>
                <w:sz w:val="28"/>
                <w:szCs w:val="32"/>
              </w:rPr>
              <m:t>电</m:t>
            </m:r>
            <m:ctrlPr>
              <w:rPr>
                <w:rFonts w:ascii="Cambria Math" w:hAnsi="Cambria Math" w:eastAsia="仿宋_GB2312"/>
                <w:sz w:val="28"/>
                <w:szCs w:val="32"/>
              </w:rPr>
            </m:ctrlPr>
          </m:e>
        </m:nary>
        <m:r>
          <m:rPr/>
          <w:rPr>
            <w:rFonts w:hint="eastAsia" w:ascii="Cambria Math" w:hAnsi="Cambria Math" w:eastAsia="仿宋_GB2312"/>
            <w:sz w:val="28"/>
            <w:szCs w:val="32"/>
          </w:rPr>
          <m:t>+9.5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天然气</m:t>
            </m:r>
            <m:ctrlPr>
              <w:rPr>
                <w:rFonts w:ascii="Cambria Math" w:hAnsi="Cambria Math" w:eastAsia="仿宋_GB2312"/>
                <w:i/>
                <w:sz w:val="28"/>
                <w:szCs w:val="32"/>
              </w:rPr>
            </m:ctrlPr>
          </m:e>
        </m:nary>
        <m:r>
          <m:rPr/>
          <w:rPr>
            <w:rFonts w:hint="eastAsia" w:ascii="Cambria Math" w:hAnsi="Cambria Math" w:eastAsia="仿宋_GB2312"/>
            <w:sz w:val="28"/>
            <w:szCs w:val="32"/>
          </w:rPr>
          <m:t>+628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外购蒸汽</m:t>
            </m:r>
            <m:ctrlPr>
              <w:rPr>
                <w:rFonts w:ascii="Cambria Math" w:hAnsi="Cambria Math" w:eastAsia="仿宋_GB2312"/>
                <w:i/>
                <w:sz w:val="28"/>
                <w:szCs w:val="32"/>
              </w:rPr>
            </m:ctrlPr>
          </m:e>
        </m:nary>
        <m:r>
          <m:rPr/>
          <w:rPr>
            <w:rFonts w:hint="eastAsia" w:ascii="Cambria Math" w:hAnsi="Cambria Math" w:eastAsia="仿宋_GB2312"/>
            <w:sz w:val="28"/>
            <w:szCs w:val="32"/>
          </w:rPr>
          <m:t>+35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外购生活热水</m:t>
            </m:r>
            <m:ctrlPr>
              <w:rPr>
                <w:rFonts w:ascii="Cambria Math" w:hAnsi="Cambria Math" w:eastAsia="仿宋_GB2312"/>
                <w:i/>
                <w:sz w:val="28"/>
                <w:szCs w:val="32"/>
              </w:rPr>
            </m:ctrlPr>
          </m:e>
        </m:nary>
        <m:r>
          <m:rPr/>
          <w:rPr>
            <w:rFonts w:hint="eastAsia" w:ascii="Cambria Math" w:hAnsi="Cambria Math" w:eastAsia="仿宋_GB2312"/>
            <w:sz w:val="28"/>
            <w:szCs w:val="32"/>
          </w:rPr>
          <m:t>+277.8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d>
              <m:dPr>
                <m:ctrlPr>
                  <w:rPr>
                    <w:rFonts w:ascii="Cambria Math" w:hAnsi="Cambria Math" w:eastAsia="仿宋_GB2312"/>
                    <w:i/>
                    <w:sz w:val="28"/>
                    <w:szCs w:val="32"/>
                  </w:rPr>
                </m:ctrlPr>
              </m:dPr>
              <m:e>
                <m:r>
                  <m:rPr/>
                  <w:rPr>
                    <w:rFonts w:hint="eastAsia" w:ascii="Cambria Math" w:hAnsi="Cambria Math" w:eastAsia="仿宋_GB2312"/>
                    <w:sz w:val="28"/>
                    <w:szCs w:val="32"/>
                  </w:rPr>
                  <m:t>外购采暖热量+外购冷量</m:t>
                </m:r>
                <m:ctrlPr>
                  <w:rPr>
                    <w:rFonts w:ascii="Cambria Math" w:hAnsi="Cambria Math" w:eastAsia="仿宋_GB2312"/>
                    <w:i/>
                    <w:sz w:val="28"/>
                    <w:szCs w:val="32"/>
                  </w:rPr>
                </m:ctrlPr>
              </m:e>
            </m:d>
            <m:r>
              <m:rPr/>
              <w:rPr>
                <w:rFonts w:hint="eastAsia" w:ascii="Cambria Math" w:hAnsi="Cambria Math" w:eastAsia="仿宋_GB2312"/>
                <w:sz w:val="28"/>
                <w:szCs w:val="32"/>
              </w:rPr>
              <m:t>+</m:t>
            </m:r>
            <m:ctrlPr>
              <w:rPr>
                <w:rFonts w:ascii="Cambria Math" w:hAnsi="Cambria Math" w:eastAsia="仿宋_GB2312"/>
                <w:i/>
                <w:sz w:val="28"/>
                <w:szCs w:val="32"/>
              </w:rPr>
            </m:ctrlPr>
          </m:e>
        </m:nary>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太阳能发电</m:t>
            </m:r>
            <m:ctrlPr>
              <w:rPr>
                <w:rFonts w:ascii="Cambria Math" w:hAnsi="Cambria Math" w:eastAsia="仿宋_GB2312"/>
                <w:i/>
                <w:sz w:val="28"/>
                <w:szCs w:val="32"/>
              </w:rPr>
            </m:ctrlPr>
          </m:e>
        </m:nary>
        <m:r>
          <m:rPr/>
          <w:rPr>
            <w:rFonts w:hint="eastAsia"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其他能源</m:t>
            </m:r>
            <m:ctrlPr>
              <w:rPr>
                <w:rFonts w:ascii="Cambria Math" w:hAnsi="Cambria Math" w:eastAsia="仿宋_GB2312"/>
                <w:i/>
                <w:sz w:val="28"/>
                <w:szCs w:val="32"/>
              </w:rPr>
            </m:ctrlPr>
          </m:e>
        </m:nary>
      </m:oMath>
      <w:r>
        <w:rPr>
          <w:rFonts w:ascii="仿宋_GB2312" w:eastAsia="仿宋_GB2312"/>
          <w:sz w:val="28"/>
          <w:szCs w:val="32"/>
        </w:rPr>
        <w:t xml:space="preserve"> </w:t>
      </w:r>
    </w:p>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p>
    <w:sectPr>
      <w:footerReference r:id="rId7" w:type="default"/>
      <w:pgSz w:w="11910" w:h="16840"/>
      <w:pgMar w:top="1431" w:right="1786" w:bottom="1626" w:left="1786" w:header="0" w:footer="15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6" w:lineRule="exact"/>
      <w:ind w:firstLine="7873"/>
      <w:rPr>
        <w:rFonts w:ascii="Arial" w:hAnsi="Arial" w:eastAsia="Arial" w:cs="Arial"/>
        <w:sz w:val="12"/>
        <w:szCs w:val="12"/>
      </w:rPr>
    </w:pPr>
    <w:r>
      <w:rPr>
        <w:rFonts w:ascii="Arial" w:hAnsi="Arial" w:eastAsia="Arial" w:cs="Arial"/>
        <w:position w:val="-2"/>
        <w:sz w:val="12"/>
        <w:szCs w:val="12"/>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3" w:lineRule="exact"/>
      <w:ind w:firstLine="7873"/>
      <w:rPr>
        <w:rFonts w:ascii="Arial" w:hAnsi="Arial" w:eastAsia="Arial" w:cs="Arial"/>
        <w:sz w:val="10"/>
        <w:szCs w:val="10"/>
      </w:rPr>
    </w:pPr>
    <w:r>
      <w:rPr>
        <w:rFonts w:ascii="Arial" w:hAnsi="Arial" w:eastAsia="Arial" w:cs="Arial"/>
        <w:position w:val="-1"/>
        <w:sz w:val="10"/>
        <w:szCs w:val="1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3" w:lineRule="exact"/>
      <w:ind w:firstLine="7873"/>
      <w:rPr>
        <w:rFonts w:ascii="Arial" w:hAnsi="Arial" w:eastAsia="Arial" w:cs="Arial"/>
        <w:sz w:val="10"/>
        <w:szCs w:val="10"/>
      </w:rPr>
    </w:pPr>
    <w:r>
      <w:rPr>
        <w:rFonts w:ascii="Arial" w:hAnsi="Arial" w:eastAsia="Arial" w:cs="Arial"/>
        <w:spacing w:val="-3"/>
        <w:position w:val="-1"/>
        <w:sz w:val="10"/>
        <w:szCs w:val="1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0F046F"/>
    <w:rsid w:val="04051239"/>
    <w:rsid w:val="24A92947"/>
    <w:rsid w:val="25041528"/>
    <w:rsid w:val="2F453648"/>
    <w:rsid w:val="32D0357C"/>
    <w:rsid w:val="41992202"/>
    <w:rsid w:val="488F6C89"/>
    <w:rsid w:val="6EA35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2021-11-12T06:43:00Z</dcterms:created>
  <dc:creator>Lenovo</dc:creator>
  <cp:lastModifiedBy>Anything</cp:lastModifiedBy>
  <dcterms:modified xsi:type="dcterms:W3CDTF">2021-11-17T06:24:16Z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2021-11-12T14:43:00Z</vt:filetime>
  </property>
  <property fmtid="{D5CDD505-2E9C-101B-9397-08002B2CF9AE}" pid="4" name="KSOProductBuildVer">
    <vt:lpwstr>2052-11.1.0.11045</vt:lpwstr>
  </property>
  <property fmtid="{D5CDD505-2E9C-101B-9397-08002B2CF9AE}" pid="5" name="ICV">
    <vt:lpwstr>09B7C9C4164040DDA8A9D5DCBD9B6631</vt:lpwstr>
  </property>
</Properties>
</file>