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334"/>
        <w:textAlignment w:val="baseline"/>
        <w:rPr>
          <w:rFonts w:hint="eastAsia" w:ascii="仿宋" w:hAnsi="仿宋" w:eastAsia="仿宋" w:cs="仿宋"/>
          <w:b/>
          <w:bCs/>
          <w:spacing w:val="14"/>
          <w:w w:val="102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4"/>
          <w:w w:val="102"/>
          <w:sz w:val="36"/>
          <w:szCs w:val="36"/>
          <w:lang w:val="en-US" w:eastAsia="zh-CN"/>
        </w:rPr>
        <w:t>附件： 4" 中国好建筑”—健康建筑评价细则</w:t>
      </w:r>
    </w:p>
    <w:p>
      <w:pPr>
        <w:snapToGrid w:val="0"/>
        <w:spacing w:line="360" w:lineRule="auto"/>
        <w:ind w:firstLine="562" w:firstLineChars="200"/>
        <w:rPr>
          <w:rFonts w:ascii="仿宋_GB2312" w:eastAsia="仿宋_GB2312"/>
          <w:b/>
          <w:bCs/>
          <w:sz w:val="28"/>
          <w:szCs w:val="32"/>
        </w:rPr>
      </w:pPr>
      <w:r>
        <w:rPr>
          <w:rFonts w:hint="eastAsia" w:ascii="仿宋_GB2312" w:eastAsia="仿宋_GB2312"/>
          <w:b/>
          <w:bCs/>
          <w:sz w:val="28"/>
          <w:szCs w:val="32"/>
        </w:rPr>
        <w:t>一</w:t>
      </w:r>
      <w:r>
        <w:rPr>
          <w:rFonts w:ascii="仿宋_GB2312" w:eastAsia="仿宋_GB2312"/>
          <w:b/>
          <w:bCs/>
          <w:sz w:val="28"/>
          <w:szCs w:val="32"/>
        </w:rPr>
        <w:t>、</w:t>
      </w:r>
      <w:r>
        <w:rPr>
          <w:rFonts w:hint="eastAsia" w:ascii="仿宋_GB2312" w:eastAsia="仿宋_GB2312"/>
          <w:b/>
          <w:bCs/>
          <w:sz w:val="28"/>
          <w:szCs w:val="32"/>
        </w:rPr>
        <w:t>项目基本情况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1、申报单位基本信息：申报单位名称、联系人、联系方式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2、申报建筑信息：设计单位、施工单位、运行单位、改造单位。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3、建筑基础信息：建筑名称、详细地址、建筑类型、竣工时间、建筑层数及面积、建筑使用功能分布等。</w:t>
      </w:r>
    </w:p>
    <w:p>
      <w:pPr>
        <w:snapToGrid w:val="0"/>
        <w:spacing w:line="360" w:lineRule="auto"/>
        <w:ind w:firstLine="562" w:firstLineChars="200"/>
        <w:rPr>
          <w:rFonts w:ascii="仿宋_GB2312" w:eastAsia="仿宋_GB2312"/>
          <w:b/>
          <w:bCs/>
          <w:sz w:val="28"/>
          <w:szCs w:val="32"/>
        </w:rPr>
      </w:pPr>
      <w:r>
        <w:rPr>
          <w:rFonts w:hint="eastAsia" w:ascii="仿宋_GB2312" w:eastAsia="仿宋_GB2312"/>
          <w:b/>
          <w:bCs/>
          <w:sz w:val="28"/>
          <w:szCs w:val="32"/>
        </w:rPr>
        <w:t>二、健康建筑设备和运行评价</w:t>
      </w:r>
    </w:p>
    <w:p>
      <w:pPr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1、</w:t>
      </w:r>
      <w:r>
        <w:rPr>
          <w:rFonts w:hint="eastAsia" w:ascii="Times New Roman" w:hAnsi="Times New Roman" w:eastAsia="仿宋_GB2312"/>
          <w:b/>
          <w:sz w:val="28"/>
          <w:szCs w:val="28"/>
        </w:rPr>
        <w:t xml:space="preserve">室内环境处理设备评价 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（1）采取有效措施避免有气味、颗粒物、臭氧等散发源空间的污染物传统到室内其他空间或室外活动场所。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（2）采取有效措施保障厨房的排风要求，防止厨房油烟扩散至其他室内空间及室外活动场所。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（3）建筑外墙、幕墙具有较好的气密性以及阻隔室外污染物穿透进入室内。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4）设置空气净化装置降低室内污染物浓度：设置具有空气净化功能的集中式新风系统、分户式新风系统或窗式通风器；未设置新风系统的建筑，在循环风或空调回风系统内部设置净化装置，或在室内设置独立的空气净化装置。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（5）具有监测P</w:t>
      </w:r>
      <w:r>
        <w:rPr>
          <w:rFonts w:ascii="Times New Roman" w:hAnsi="Times New Roman" w:eastAsia="仿宋_GB2312"/>
          <w:sz w:val="28"/>
          <w:szCs w:val="28"/>
        </w:rPr>
        <w:t>M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2.5</w:t>
      </w:r>
      <w:r>
        <w:rPr>
          <w:rFonts w:hint="eastAsia" w:ascii="Times New Roman" w:hAnsi="Times New Roman" w:eastAsia="仿宋_GB2312"/>
          <w:sz w:val="28"/>
          <w:szCs w:val="28"/>
        </w:rPr>
        <w:t>、P</w:t>
      </w:r>
      <w:r>
        <w:rPr>
          <w:rFonts w:ascii="Times New Roman" w:hAnsi="Times New Roman" w:eastAsia="仿宋_GB2312"/>
          <w:sz w:val="28"/>
          <w:szCs w:val="28"/>
        </w:rPr>
        <w:t>M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10</w:t>
      </w:r>
      <w:r>
        <w:rPr>
          <w:rFonts w:hint="eastAsia" w:ascii="Times New Roman" w:hAnsi="Times New Roman" w:eastAsia="仿宋_GB2312"/>
          <w:sz w:val="28"/>
          <w:szCs w:val="28"/>
        </w:rPr>
        <w:t>、C</w:t>
      </w:r>
      <w:r>
        <w:rPr>
          <w:rFonts w:ascii="Times New Roman" w:hAnsi="Times New Roman" w:eastAsia="仿宋_GB2312"/>
          <w:sz w:val="28"/>
          <w:szCs w:val="28"/>
        </w:rPr>
        <w:t>O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2</w:t>
      </w:r>
      <w:r>
        <w:rPr>
          <w:rFonts w:hint="eastAsia" w:ascii="Times New Roman" w:hAnsi="Times New Roman" w:eastAsia="仿宋_GB2312"/>
          <w:sz w:val="28"/>
          <w:szCs w:val="28"/>
        </w:rPr>
        <w:t>浓度等的空气质量监测系统，且具有储存至少6个月的监测数据和实时显示等功能。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（6）空气质量监测系统与所有室内空气质量调控设备组成自动控制系统，且具备主要污染物浓度参数限制设定及越限报警等功能。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（7）照明控制系统可按需进行自动调节，与遮阳装置联动。</w:t>
      </w:r>
    </w:p>
    <w:p>
      <w:pPr>
        <w:ind w:left="98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2、室内环境评价</w:t>
      </w:r>
    </w:p>
    <w:p>
      <w:pPr>
        <w:spacing w:line="360" w:lineRule="auto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（1）空气温湿度指标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2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460"/>
        <w:gridCol w:w="1460"/>
        <w:gridCol w:w="1476"/>
        <w:gridCol w:w="146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参数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标准值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温度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℃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22-28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夏季空调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℃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16-24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冬季采暖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湿度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%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40-80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夏季空调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%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30-60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冬季采暖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空气流速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m/s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0.3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夏季空调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m/s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0.2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冬季采暖</w:t>
            </w:r>
          </w:p>
        </w:tc>
      </w:tr>
    </w:tbl>
    <w:p>
      <w:pPr>
        <w:spacing w:line="360" w:lineRule="auto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（2）噪声指标</w:t>
      </w:r>
    </w:p>
    <w:tbl>
      <w:tblPr>
        <w:tblStyle w:val="3"/>
        <w:tblW w:w="7946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2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255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7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房间类型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噪声级别要求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7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有睡眠要求的主要功能房间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≤37dB(A)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7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集中精力、提高工作效率的功能房间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≤40dB(A)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7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通过自然声进行语言交流的场所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≤45dB(A)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7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通过扩声系统传输语音信息的场所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≤50dB(A)</w:t>
            </w:r>
          </w:p>
        </w:tc>
      </w:tr>
    </w:tbl>
    <w:p>
      <w:pPr>
        <w:spacing w:line="360" w:lineRule="auto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（3）照明指标</w:t>
      </w:r>
    </w:p>
    <w:p>
      <w:pPr>
        <w:spacing w:line="360" w:lineRule="auto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室内人员长时间停留场所，其光源色温不应高于4000K，墙面的平均照顾不应低于50Lx、顶棚的平均照度不应低于50Lx。</w:t>
      </w:r>
    </w:p>
    <w:p>
      <w:pPr>
        <w:snapToGrid w:val="0"/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三、效益分析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1、健康建筑单位面积成本和增量成本；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2、创新点和亮点：关键技术、模式创新等。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中国好建筑—健康建筑评价表</w:t>
      </w:r>
    </w:p>
    <w:tbl>
      <w:tblPr>
        <w:tblStyle w:val="3"/>
        <w:tblW w:w="51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2273"/>
        <w:gridCol w:w="2055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shd w:val="clear" w:color="auto" w:fill="7F7F7F" w:themeFill="background1" w:themeFillShade="8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能耗诊断和统计信息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建筑年综合能耗（k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wh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1296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7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建筑年单位面积能耗（kw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h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/m</w:t>
            </w:r>
            <w:r>
              <w:rPr>
                <w:rFonts w:ascii="Times New Roman" w:hAnsi="Times New Roman" w:eastAsia="黑体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1214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9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7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建筑年人均能耗（kw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h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/人）</w:t>
            </w:r>
          </w:p>
        </w:tc>
        <w:tc>
          <w:tcPr>
            <w:tcW w:w="1214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健康建筑技术创新点和解决方案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（综合考虑健康建筑的技术创新方案，包括冷热舒适、新风、空气质量、光、声等室内环境优质解决方案）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5189D"/>
    <w:rsid w:val="79F5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2021-11-17T06:25:00Z</dcterms:created>
  <dc:creator>Anything</dc:creator>
  <cp:lastModifiedBy>Anything</cp:lastModifiedBy>
  <dcterms:modified xsi:type="dcterms:W3CDTF">2021-11-17T06:26:19Z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517E2DC1F8364FE9A22D800CC207BBCE</vt:lpwstr>
  </property>
</Properties>
</file>